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b w:val="1"/>
        </w:rPr>
      </w:pPr>
      <w:r>
        <w:rPr>
          <w:b w:val="1"/>
        </w:rPr>
        <w:t>ПРИЛОЖЕНИЕ</w:t>
      </w:r>
    </w:p>
    <w:p w14:paraId="04000000">
      <w:pPr>
        <w:spacing w:line="360" w:lineRule="auto"/>
        <w:ind w:firstLine="709" w:left="0"/>
        <w:rPr>
          <w:color w:val="000000"/>
        </w:rPr>
      </w:pPr>
      <w:r>
        <w:rPr>
          <w:color w:val="000000"/>
        </w:rPr>
        <w:t xml:space="preserve">Требования к оформлению статей </w:t>
      </w:r>
    </w:p>
    <w:p w14:paraId="05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Объем</w:t>
      </w:r>
      <w:r>
        <w:rPr>
          <w:color w:val="222222"/>
          <w:highlight w:val="white"/>
        </w:rPr>
        <w:t xml:space="preserve"> текста до 5 страниц.</w:t>
      </w:r>
      <w:r>
        <w:rPr>
          <w:color w:val="222222"/>
          <w:highlight w:val="white"/>
        </w:rPr>
        <w:t xml:space="preserve"> Минимальный размер – 2 страницы.</w:t>
      </w:r>
    </w:p>
    <w:p w14:paraId="06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Формат текста – </w:t>
      </w:r>
      <w:r>
        <w:rPr>
          <w:color w:val="222222"/>
          <w:highlight w:val="white"/>
        </w:rPr>
        <w:t>Microsoft</w:t>
      </w:r>
      <w:r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Word</w:t>
      </w:r>
      <w:r>
        <w:rPr>
          <w:color w:val="222222"/>
          <w:highlight w:val="white"/>
        </w:rPr>
        <w:t xml:space="preserve"> (файлы .</w:t>
      </w:r>
      <w:r>
        <w:rPr>
          <w:color w:val="222222"/>
          <w:highlight w:val="white"/>
        </w:rPr>
        <w:t>doc</w:t>
      </w:r>
      <w:r>
        <w:rPr>
          <w:color w:val="222222"/>
          <w:highlight w:val="white"/>
        </w:rPr>
        <w:t>, .</w:t>
      </w:r>
      <w:r>
        <w:rPr>
          <w:color w:val="222222"/>
          <w:highlight w:val="white"/>
        </w:rPr>
        <w:t>docx</w:t>
      </w:r>
      <w:r>
        <w:rPr>
          <w:color w:val="222222"/>
          <w:highlight w:val="white"/>
        </w:rPr>
        <w:t>); язык текста – русский; Ориентация страницы – книжная;</w:t>
      </w:r>
    </w:p>
    <w:p w14:paraId="07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Поля (верхнее, нижнее, левое, правое) – 2 см;</w:t>
      </w:r>
    </w:p>
    <w:p w14:paraId="08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Шрифт – </w:t>
      </w:r>
      <w:r>
        <w:rPr>
          <w:color w:val="222222"/>
          <w:highlight w:val="white"/>
        </w:rPr>
        <w:t>Times</w:t>
      </w:r>
      <w:r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New</w:t>
      </w:r>
      <w:r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Roman</w:t>
      </w:r>
      <w:r>
        <w:rPr>
          <w:color w:val="222222"/>
          <w:highlight w:val="white"/>
        </w:rPr>
        <w:t>, кегель – 12; межстрочный интервал – одинарный, абзац – 1,25 см.</w:t>
      </w:r>
    </w:p>
    <w:p w14:paraId="09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Название статьи (кегель 12, буквы заглавные, шрифт – жирный, выравнивание по центру). На следующей строке фамилии авторов.</w:t>
      </w:r>
    </w:p>
    <w:p w14:paraId="0A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ФИО автора</w:t>
      </w:r>
      <w:r>
        <w:rPr>
          <w:color w:val="222222"/>
          <w:highlight w:val="white"/>
        </w:rPr>
        <w:t xml:space="preserve"> (-</w:t>
      </w:r>
      <w:r>
        <w:rPr>
          <w:color w:val="222222"/>
          <w:highlight w:val="white"/>
        </w:rPr>
        <w:t>ов</w:t>
      </w:r>
      <w:r>
        <w:rPr>
          <w:color w:val="222222"/>
          <w:highlight w:val="white"/>
        </w:rPr>
        <w:t>) полностью (кегель 12, выравнивание по центру); место работы (обучения) в именительном падеже (выравнивание по центру, кегель 12);электронная почта автора (курсив);</w:t>
      </w:r>
    </w:p>
    <w:p w14:paraId="0B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Через 1 интервал аннотация и ключевые слова на русском языке (кегель 11). Аннотация должна состоять из одного абзаца, выравнивание по ширине странице, без отступа. Ключевые слова через запятую, максимум 10.</w:t>
      </w:r>
    </w:p>
    <w:p w14:paraId="0C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Далее с пропуском в один интервал название, информация об авторах, аннотация и ключевые слова на английском языке в том же формате, что и на русском языке</w:t>
      </w:r>
    </w:p>
    <w:p w14:paraId="0D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Через 2 интервала – основной текст (выравнивание по ширине); </w:t>
      </w:r>
    </w:p>
    <w:p w14:paraId="0E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Формулы набираются во встроенном редакторе формул в тексте, нумеруются по правому краю в конце строки в круглых скобках.</w:t>
      </w:r>
    </w:p>
    <w:p w14:paraId="0F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Ссылки на литературу в квадратных скобках.</w:t>
      </w:r>
    </w:p>
    <w:p w14:paraId="10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Таблицы и рисунки должны иметь названия и располагаться в тексте после ссылки на них, выравнивание таблиц и рисунков по центру. Названия таблиц и рисунков – самостоятельный текст, не включенный в рисунки, шрифт – курсив.</w:t>
      </w:r>
    </w:p>
    <w:p w14:paraId="11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Название таблицы располагается над таблицей через 1 интервал от основного текста, выравнивание по ширине без отступа. Подпись рисунка – после рисунка без интервала.</w:t>
      </w:r>
    </w:p>
    <w:p w14:paraId="12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После рисунка и таблицы те</w:t>
      </w:r>
      <w:r>
        <w:rPr>
          <w:color w:val="222222"/>
          <w:highlight w:val="white"/>
        </w:rPr>
        <w:t>кст ст</w:t>
      </w:r>
      <w:r>
        <w:rPr>
          <w:color w:val="222222"/>
          <w:highlight w:val="white"/>
        </w:rPr>
        <w:t xml:space="preserve">атьи начинается через 1 интервал. </w:t>
      </w:r>
    </w:p>
    <w:p w14:paraId="13000000">
      <w:pPr>
        <w:pStyle w:val="Style_2"/>
        <w:numPr>
          <w:ilvl w:val="0"/>
          <w:numId w:val="1"/>
        </w:numPr>
        <w:spacing w:line="276" w:lineRule="auto"/>
        <w:ind w:firstLine="0" w:left="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Список литературы составляется по порядку использования источников в тексте. Название «Список литературы» печатается по центру через 1 интервал от основного текста.</w:t>
      </w:r>
    </w:p>
    <w:p w14:paraId="14000000">
      <w:pPr>
        <w:spacing w:line="360" w:lineRule="auto"/>
        <w:ind w:firstLine="709" w:left="0"/>
      </w:pPr>
    </w:p>
    <w:p w14:paraId="15000000">
      <w:pPr>
        <w:spacing w:line="360" w:lineRule="auto"/>
        <w:ind w:firstLine="709" w:left="0"/>
      </w:pPr>
    </w:p>
    <w:p w14:paraId="16000000">
      <w:pPr>
        <w:spacing w:line="360" w:lineRule="auto"/>
        <w:ind w:firstLine="709" w:left="0"/>
      </w:pPr>
    </w:p>
    <w:p w14:paraId="17000000">
      <w:pPr>
        <w:spacing w:line="360" w:lineRule="auto"/>
        <w:ind w:firstLine="709" w:left="0"/>
      </w:pPr>
    </w:p>
    <w:p w14:paraId="18000000">
      <w:pPr>
        <w:spacing w:line="360" w:lineRule="auto"/>
        <w:ind w:firstLine="709" w:left="0"/>
      </w:pPr>
    </w:p>
    <w:p w14:paraId="19000000">
      <w:pPr>
        <w:spacing w:line="360" w:lineRule="auto"/>
        <w:ind w:firstLine="709" w:left="0"/>
      </w:pPr>
    </w:p>
    <w:p w14:paraId="1A000000">
      <w:pPr>
        <w:spacing w:after="160" w:line="264" w:lineRule="auto"/>
        <w:ind/>
      </w:pPr>
      <w:r>
        <w:br w:type="page"/>
      </w:r>
    </w:p>
    <w:p w14:paraId="1B000000">
      <w:pPr>
        <w:spacing w:line="360" w:lineRule="auto"/>
        <w:ind w:firstLine="709" w:left="0"/>
      </w:pPr>
    </w:p>
    <w:p w14:paraId="1C000000">
      <w:pPr>
        <w:spacing w:line="360" w:lineRule="auto"/>
        <w:ind w:firstLine="709" w:left="0"/>
      </w:pPr>
      <w:r>
        <w:t xml:space="preserve">Образец  </w:t>
      </w:r>
      <w:r>
        <w:t>оформления статьи</w:t>
      </w:r>
    </w:p>
    <w:p w14:paraId="1D000000">
      <w:pPr>
        <w:spacing w:line="360" w:lineRule="auto"/>
        <w:ind w:firstLine="709" w:left="0"/>
      </w:pPr>
    </w:p>
    <w:p w14:paraId="1E000000">
      <w:pPr>
        <w:ind w:firstLine="709" w:left="0"/>
        <w:jc w:val="center"/>
        <w:rPr>
          <w:b w:val="1"/>
          <w:color w:val="222222"/>
          <w:highlight w:val="white"/>
        </w:rPr>
      </w:pPr>
      <w:r>
        <w:rPr>
          <w:b w:val="1"/>
          <w:color w:val="222222"/>
          <w:highlight w:val="white"/>
        </w:rPr>
        <w:t>ОЦЕНКА ПОТЕНЦИАЛА ВЕТРОЭНЕРГЕТИКИ АРКТИКИ</w:t>
      </w:r>
    </w:p>
    <w:p w14:paraId="1F000000">
      <w:pPr>
        <w:ind w:firstLine="709" w:left="0"/>
        <w:jc w:val="center"/>
        <w:rPr>
          <w:color w:val="222222"/>
          <w:highlight w:val="white"/>
          <w:vertAlign w:val="superscript"/>
        </w:rPr>
      </w:pPr>
      <w:r>
        <w:rPr>
          <w:color w:val="222222"/>
          <w:highlight w:val="white"/>
        </w:rPr>
        <w:t>Иванов И.И.</w:t>
      </w:r>
      <w:r>
        <w:rPr>
          <w:color w:val="222222"/>
          <w:highlight w:val="white"/>
          <w:vertAlign w:val="superscript"/>
        </w:rPr>
        <w:t>1</w:t>
      </w:r>
      <w:r>
        <w:rPr>
          <w:color w:val="222222"/>
          <w:highlight w:val="white"/>
        </w:rPr>
        <w:t>, Петров П.П.</w:t>
      </w:r>
      <w:r>
        <w:rPr>
          <w:color w:val="222222"/>
          <w:highlight w:val="white"/>
          <w:vertAlign w:val="superscript"/>
        </w:rPr>
        <w:t>1,2</w:t>
      </w:r>
    </w:p>
    <w:p w14:paraId="20000000">
      <w:pPr>
        <w:ind/>
        <w:jc w:val="center"/>
        <w:rPr>
          <w:color w:val="222222"/>
          <w:highlight w:val="white"/>
        </w:rPr>
      </w:pPr>
      <w:r>
        <w:rPr>
          <w:color w:val="222222"/>
          <w:highlight w:val="white"/>
          <w:vertAlign w:val="superscript"/>
        </w:rPr>
        <w:t xml:space="preserve">1 </w:t>
      </w:r>
      <w:r>
        <w:rPr>
          <w:color w:val="222222"/>
          <w:highlight w:val="white"/>
        </w:rPr>
        <w:t>Российский государственный гидрометеорологический университет, Санкт-Петербург</w:t>
      </w:r>
    </w:p>
    <w:p w14:paraId="21000000">
      <w:pPr>
        <w:ind w:firstLine="709" w:left="0"/>
        <w:jc w:val="center"/>
        <w:rPr>
          <w:color w:val="222222"/>
          <w:highlight w:val="white"/>
        </w:rPr>
      </w:pPr>
      <w:r>
        <w:rPr>
          <w:color w:val="222222"/>
          <w:highlight w:val="white"/>
          <w:vertAlign w:val="superscript"/>
        </w:rPr>
        <w:t>2</w:t>
      </w:r>
      <w:r>
        <w:rPr>
          <w:color w:val="222222"/>
          <w:highlight w:val="white"/>
        </w:rPr>
        <w:t>Санкт-Петербургский государственный университет, Санкт-Петербург</w:t>
      </w:r>
    </w:p>
    <w:p w14:paraId="22000000">
      <w:pPr>
        <w:ind w:firstLine="709" w:left="0"/>
        <w:jc w:val="center"/>
        <w:rPr>
          <w:i w:val="1"/>
          <w:color w:val="222222"/>
          <w:highlight w:val="white"/>
        </w:rPr>
      </w:pPr>
      <w:r>
        <w:rPr>
          <w:i w:val="1"/>
          <w:color w:val="0000FF"/>
          <w:highlight w:val="white"/>
          <w:u w:val="single"/>
        </w:rPr>
        <w:fldChar w:fldCharType="begin"/>
      </w:r>
      <w:r>
        <w:rPr>
          <w:i w:val="1"/>
          <w:color w:val="0000FF"/>
          <w:highlight w:val="white"/>
          <w:u w:val="single"/>
        </w:rPr>
        <w:instrText>HYPERLINK "mailto:ivanov@in.ru"</w:instrText>
      </w:r>
      <w:r>
        <w:rPr>
          <w:i w:val="1"/>
          <w:color w:val="0000FF"/>
          <w:highlight w:val="white"/>
          <w:u w:val="single"/>
        </w:rPr>
        <w:fldChar w:fldCharType="separate"/>
      </w:r>
      <w:r>
        <w:rPr>
          <w:i w:val="1"/>
          <w:color w:val="0000FF"/>
          <w:highlight w:val="white"/>
          <w:u w:val="single"/>
        </w:rPr>
        <w:t>ivanov</w:t>
      </w:r>
      <w:r>
        <w:rPr>
          <w:i w:val="1"/>
          <w:color w:val="0000FF"/>
          <w:highlight w:val="white"/>
          <w:u w:val="single"/>
        </w:rPr>
        <w:t>@</w:t>
      </w:r>
      <w:r>
        <w:rPr>
          <w:i w:val="1"/>
          <w:color w:val="0000FF"/>
          <w:highlight w:val="white"/>
          <w:u w:val="single"/>
        </w:rPr>
        <w:t>in</w:t>
      </w:r>
      <w:r>
        <w:rPr>
          <w:i w:val="1"/>
          <w:color w:val="0000FF"/>
          <w:highlight w:val="white"/>
          <w:u w:val="single"/>
        </w:rPr>
        <w:t>.</w:t>
      </w:r>
      <w:r>
        <w:rPr>
          <w:i w:val="1"/>
          <w:color w:val="0000FF"/>
          <w:highlight w:val="white"/>
          <w:u w:val="single"/>
        </w:rPr>
        <w:t>ru</w:t>
      </w:r>
      <w:r>
        <w:rPr>
          <w:i w:val="1"/>
          <w:color w:val="0000FF"/>
          <w:highlight w:val="white"/>
          <w:u w:val="single"/>
        </w:rPr>
        <w:fldChar w:fldCharType="end"/>
      </w:r>
    </w:p>
    <w:p w14:paraId="23000000">
      <w:pPr>
        <w:ind w:firstLine="709" w:left="0"/>
        <w:jc w:val="center"/>
        <w:rPr>
          <w:i w:val="1"/>
          <w:color w:val="222222"/>
          <w:highlight w:val="white"/>
        </w:rPr>
      </w:pPr>
    </w:p>
    <w:p w14:paraId="24000000">
      <w:pPr>
        <w:ind/>
        <w:jc w:val="both"/>
        <w:rPr>
          <w:color w:val="222222"/>
          <w:highlight w:val="white"/>
        </w:rPr>
      </w:pPr>
      <w:r>
        <w:rPr>
          <w:i w:val="1"/>
          <w:color w:val="222222"/>
          <w:highlight w:val="white"/>
        </w:rPr>
        <w:t xml:space="preserve">Аннотация. </w:t>
      </w:r>
      <w:r>
        <w:rPr>
          <w:color w:val="222222"/>
          <w:highlight w:val="white"/>
        </w:rPr>
        <w:t>Рассматривается возможность использования возобновляемых ресурсов для обеспечения экономического и социального развития Арктического региона.</w:t>
      </w:r>
    </w:p>
    <w:p w14:paraId="25000000">
      <w:pPr>
        <w:ind/>
        <w:jc w:val="both"/>
        <w:rPr>
          <w:color w:val="222222"/>
          <w:highlight w:val="white"/>
        </w:rPr>
      </w:pPr>
      <w:r>
        <w:rPr>
          <w:i w:val="1"/>
          <w:color w:val="222222"/>
          <w:highlight w:val="white"/>
        </w:rPr>
        <w:t>Ключевые слова</w:t>
      </w:r>
      <w:r>
        <w:rPr>
          <w:color w:val="222222"/>
          <w:highlight w:val="white"/>
        </w:rPr>
        <w:t>. Арктика, возобновляемые источники, ветроэнергетика, зондирование атмосферы.</w:t>
      </w:r>
    </w:p>
    <w:p w14:paraId="26000000">
      <w:pPr>
        <w:ind/>
        <w:jc w:val="both"/>
        <w:rPr>
          <w:color w:val="222222"/>
          <w:highlight w:val="white"/>
        </w:rPr>
      </w:pPr>
    </w:p>
    <w:p w14:paraId="27000000">
      <w:pPr>
        <w:ind w:firstLine="709" w:left="0"/>
        <w:jc w:val="center"/>
        <w:rPr>
          <w:b w:val="1"/>
          <w:color w:val="222222"/>
          <w:highlight w:val="white"/>
        </w:rPr>
      </w:pPr>
      <w:r>
        <w:rPr>
          <w:b w:val="1"/>
          <w:color w:val="222222"/>
          <w:highlight w:val="white"/>
        </w:rPr>
        <w:t>ASSESSING THE POTENTIAL OF WIND ENERGY IN THE ARCTIC</w:t>
      </w:r>
    </w:p>
    <w:p w14:paraId="28000000">
      <w:pPr>
        <w:ind w:firstLine="709" w:left="0"/>
        <w:jc w:val="center"/>
        <w:rPr>
          <w:color w:val="222222"/>
          <w:highlight w:val="white"/>
          <w:vertAlign w:val="superscript"/>
        </w:rPr>
      </w:pPr>
      <w:r>
        <w:rPr>
          <w:color w:val="222222"/>
          <w:highlight w:val="white"/>
        </w:rPr>
        <w:t>Ivanov</w:t>
      </w:r>
      <w:r>
        <w:rPr>
          <w:color w:val="222222"/>
          <w:highlight w:val="white"/>
        </w:rPr>
        <w:t xml:space="preserve"> I.I</w:t>
      </w:r>
      <w:r>
        <w:rPr>
          <w:color w:val="222222"/>
          <w:highlight w:val="white"/>
          <w:vertAlign w:val="superscript"/>
        </w:rPr>
        <w:t>1</w:t>
      </w:r>
      <w:r>
        <w:rPr>
          <w:color w:val="222222"/>
          <w:highlight w:val="white"/>
        </w:rPr>
        <w:t xml:space="preserve">, </w:t>
      </w:r>
      <w:r>
        <w:rPr>
          <w:color w:val="222222"/>
          <w:highlight w:val="white"/>
        </w:rPr>
        <w:t>Petrov</w:t>
      </w:r>
      <w:r>
        <w:rPr>
          <w:color w:val="222222"/>
          <w:highlight w:val="white"/>
        </w:rPr>
        <w:t xml:space="preserve"> P.P.</w:t>
      </w:r>
      <w:r>
        <w:rPr>
          <w:color w:val="222222"/>
          <w:highlight w:val="white"/>
          <w:vertAlign w:val="superscript"/>
        </w:rPr>
        <w:t>1</w:t>
      </w:r>
      <w:r>
        <w:rPr>
          <w:color w:val="222222"/>
          <w:highlight w:val="white"/>
          <w:vertAlign w:val="superscript"/>
        </w:rPr>
        <w:t>,2</w:t>
      </w:r>
    </w:p>
    <w:p w14:paraId="29000000">
      <w:pPr>
        <w:ind/>
        <w:jc w:val="center"/>
        <w:rPr>
          <w:color w:val="222222"/>
          <w:highlight w:val="white"/>
        </w:rPr>
      </w:pPr>
      <w:r>
        <w:rPr>
          <w:color w:val="222222"/>
          <w:highlight w:val="white"/>
          <w:vertAlign w:val="superscript"/>
        </w:rPr>
        <w:t xml:space="preserve">1 </w:t>
      </w:r>
      <w:r>
        <w:rPr>
          <w:color w:val="222222"/>
          <w:highlight w:val="white"/>
        </w:rPr>
        <w:t xml:space="preserve">Russian State </w:t>
      </w:r>
      <w:r>
        <w:rPr>
          <w:color w:val="222222"/>
          <w:highlight w:val="white"/>
        </w:rPr>
        <w:t>Hydrometeorological</w:t>
      </w:r>
      <w:r>
        <w:rPr>
          <w:color w:val="222222"/>
          <w:highlight w:val="white"/>
        </w:rPr>
        <w:t xml:space="preserve"> University (RSHU), </w:t>
      </w:r>
      <w:r>
        <w:rPr>
          <w:color w:val="222222"/>
          <w:highlight w:val="white"/>
        </w:rPr>
        <w:t>St.Petersburg</w:t>
      </w:r>
    </w:p>
    <w:p w14:paraId="2A000000">
      <w:pPr>
        <w:ind w:firstLine="709" w:left="0"/>
        <w:jc w:val="center"/>
        <w:rPr>
          <w:color w:val="222222"/>
          <w:highlight w:val="white"/>
        </w:rPr>
      </w:pPr>
      <w:r>
        <w:rPr>
          <w:color w:val="222222"/>
          <w:highlight w:val="white"/>
          <w:vertAlign w:val="superscript"/>
        </w:rPr>
        <w:t>2</w:t>
      </w:r>
      <w:r>
        <w:rPr>
          <w:color w:val="222222"/>
          <w:highlight w:val="white"/>
        </w:rPr>
        <w:t xml:space="preserve"> St Petersburg </w:t>
      </w:r>
      <w:r>
        <w:rPr>
          <w:color w:val="222222"/>
          <w:highlight w:val="white"/>
        </w:rPr>
        <w:t>University</w:t>
      </w:r>
      <w:r>
        <w:rPr>
          <w:color w:val="222222"/>
          <w:highlight w:val="white"/>
        </w:rPr>
        <w:t xml:space="preserve">, </w:t>
      </w:r>
      <w:r>
        <w:rPr>
          <w:color w:val="222222"/>
          <w:highlight w:val="white"/>
        </w:rPr>
        <w:t>St.Petersburg</w:t>
      </w:r>
    </w:p>
    <w:p w14:paraId="2B000000">
      <w:pPr>
        <w:ind/>
        <w:jc w:val="both"/>
        <w:rPr>
          <w:color w:val="222222"/>
          <w:highlight w:val="white"/>
        </w:rPr>
      </w:pPr>
    </w:p>
    <w:p w14:paraId="2C000000">
      <w:pPr>
        <w:ind/>
        <w:jc w:val="both"/>
        <w:rPr>
          <w:color w:val="222222"/>
          <w:highlight w:val="white"/>
        </w:rPr>
      </w:pPr>
      <w:r>
        <w:rPr>
          <w:i w:val="1"/>
          <w:color w:val="222222"/>
          <w:highlight w:val="white"/>
        </w:rPr>
        <w:t>Annotation</w:t>
      </w:r>
      <w:r>
        <w:rPr>
          <w:color w:val="222222"/>
          <w:highlight w:val="white"/>
        </w:rPr>
        <w:t>.</w:t>
      </w:r>
      <w:r>
        <w:rPr>
          <w:color w:val="222222"/>
          <w:highlight w:val="white"/>
        </w:rPr>
        <w:t xml:space="preserve"> The possibility of using renewable resources to ensure the economic and social development of the Arctic region is being considered.</w:t>
      </w:r>
    </w:p>
    <w:p w14:paraId="2D000000">
      <w:pPr>
        <w:ind/>
        <w:jc w:val="both"/>
        <w:rPr>
          <w:color w:val="222222"/>
          <w:highlight w:val="white"/>
        </w:rPr>
      </w:pPr>
      <w:r>
        <w:rPr>
          <w:i w:val="1"/>
          <w:color w:val="222222"/>
          <w:highlight w:val="white"/>
        </w:rPr>
        <w:t>Keywords</w:t>
      </w:r>
      <w:r>
        <w:rPr>
          <w:color w:val="222222"/>
          <w:highlight w:val="white"/>
        </w:rPr>
        <w:t>.</w:t>
      </w:r>
      <w:r>
        <w:rPr>
          <w:color w:val="222222"/>
          <w:highlight w:val="white"/>
        </w:rPr>
        <w:t xml:space="preserve"> Arctic, renewable sources, wind energy, atmospheric sounding.</w:t>
      </w:r>
    </w:p>
    <w:p w14:paraId="2E000000">
      <w:pPr>
        <w:ind w:firstLine="709" w:left="0"/>
        <w:jc w:val="both"/>
      </w:pPr>
    </w:p>
    <w:p w14:paraId="2F000000">
      <w:pPr>
        <w:ind w:firstLine="709" w:left="0"/>
        <w:jc w:val="both"/>
      </w:pPr>
    </w:p>
    <w:p w14:paraId="30000000">
      <w:pPr>
        <w:ind w:firstLine="709" w:left="0"/>
        <w:jc w:val="both"/>
      </w:pPr>
      <w:r>
        <w:t>Развитие возобновляемых источников энергии (ВИЭ) – глобальный тренд, обусловленный экономическими, социальными и экологическими причинами, в том числе проблемой изменения климата и необходимостью снижения выбросов парниковых газов [1].</w:t>
      </w:r>
    </w:p>
    <w:p w14:paraId="31000000">
      <w:pPr>
        <w:ind w:firstLine="709" w:left="0"/>
        <w:jc w:val="both"/>
      </w:pPr>
      <w:r>
        <w:t>Для решения этих проблем, необходимо использовать местные энергоресурсы, например, ветер. Арктические регионы России имеют значительный потенциал развития ВИЭ, в том числе и энергии ветра. Средняя скорость в этих регионах  составляет более 5 м/с (рисунок 1).</w:t>
      </w:r>
    </w:p>
    <w:p w14:paraId="32000000">
      <w:pPr>
        <w:ind w:firstLine="709" w:left="0"/>
        <w:jc w:val="both"/>
      </w:pPr>
    </w:p>
    <w:p w14:paraId="33000000">
      <w:pPr>
        <w:ind w:firstLine="709" w:left="0"/>
        <w:jc w:val="center"/>
      </w:pPr>
      <w:r>
        <w:drawing>
          <wp:inline>
            <wp:extent cx="4267200" cy="134068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267200" cy="134068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4000000">
      <w:pPr>
        <w:tabs>
          <w:tab w:leader="none" w:pos="5322" w:val="left"/>
        </w:tabs>
        <w:ind/>
        <w:jc w:val="center"/>
        <w:rPr>
          <w:i w:val="1"/>
        </w:rPr>
      </w:pPr>
      <w:r>
        <w:rPr>
          <w:i w:val="1"/>
        </w:rPr>
        <w:t>Рисунок 1 – Ветровой потенциал Российской Арктики</w:t>
      </w:r>
    </w:p>
    <w:p w14:paraId="35000000">
      <w:pPr>
        <w:tabs>
          <w:tab w:leader="none" w:pos="1299" w:val="left"/>
        </w:tabs>
        <w:ind w:firstLine="709" w:left="0"/>
        <w:jc w:val="center"/>
        <w:rPr>
          <w:i w:val="1"/>
        </w:rPr>
      </w:pPr>
    </w:p>
    <w:p w14:paraId="36000000">
      <w:pPr>
        <w:ind w:firstLine="709" w:left="0"/>
        <w:jc w:val="both"/>
      </w:pPr>
      <w:r>
        <w:t>Для предварительной оценки потенциала ветроэнергетики в Арктике, был сформирован архив данных аэрологического зондирования и проведен их анализ.</w:t>
      </w:r>
    </w:p>
    <w:p w14:paraId="37000000">
      <w:pPr>
        <w:ind w:firstLine="709" w:left="0"/>
        <w:jc w:val="both"/>
      </w:pPr>
      <w:r>
        <w:t>Результаты расчетов показаны в таблице 1.</w:t>
      </w:r>
    </w:p>
    <w:p w14:paraId="38000000">
      <w:pPr>
        <w:ind w:firstLine="709" w:left="0"/>
        <w:jc w:val="both"/>
      </w:pPr>
    </w:p>
    <w:p w14:paraId="39000000">
      <w:pPr>
        <w:tabs>
          <w:tab w:leader="none" w:pos="391" w:val="left"/>
        </w:tabs>
        <w:ind/>
        <w:jc w:val="both"/>
        <w:rPr>
          <w:i w:val="1"/>
        </w:rPr>
      </w:pPr>
      <w:r>
        <w:rPr>
          <w:i w:val="1"/>
        </w:rPr>
        <w:t>Таблица 1 – Простой установки на высоте 30 м, выраженный в сутках, для различных сезонов</w:t>
      </w:r>
    </w:p>
    <w:p w14:paraId="3A000000">
      <w:pPr>
        <w:ind w:firstLine="709" w:left="0"/>
        <w:jc w:val="center"/>
      </w:pPr>
      <w:r>
        <w:drawing>
          <wp:inline>
            <wp:extent cx="5048250" cy="13716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048250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B000000">
      <w:pPr>
        <w:ind w:firstLine="709" w:left="0"/>
        <w:jc w:val="center"/>
      </w:pPr>
      <m:oMathPara>
        <m:oMath>
          <m:sSup>
            <m:e>
              <m:d>
                <m:dPr>
                  <m:sepChr m:val=","/>
                </m:dPr>
                <m:e>
                  <m:r>
                    <w:rPr>
                      <w:rFonts w:ascii="Cambria Math" w:hAnsi="Cambria Math"/>
                      <w:sz w:val="22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</w:rPr>
            <m:t>=</m:t>
          </m:r>
          <m:nary>
            <m:naryPr>
              <m:chr m:val="∑"/>
              <m:limLoc m:val="undOvr"/>
              <m:grow m:val="on"/>
              <m:subHide m:val="off"/>
              <m:supHide m:val="off"/>
            </m:naryPr>
            <m:sub>
              <m:r>
                <w:rPr>
                  <w:rFonts w:ascii="Cambria Math" w:hAnsi="Cambria Math"/>
                  <w:sz w:val="22"/>
                </w:rPr>
                <m:t>k=0</m:t>
              </m:r>
            </m:sub>
            <m:sup>
              <m:r>
                <w:rPr>
                  <w:rFonts w:ascii="Cambria Math" w:hAnsi="Cambria Math"/>
                  <w:sz w:val="22"/>
                </w:rPr>
                <m:t>n</m:t>
              </m:r>
            </m:sup>
            <m:e/>
          </m:nary>
          <m:d>
            <m:dPr>
              <m:begChr m:val=""/>
              <m:sepChr m:val=","/>
              <m:endChr m:val=""/>
            </m:dPr>
            <m:e>
              <m:f>
                <m:fPr>
                  <m:type m:val="noBar"/>
                </m:fPr>
                <m:num>
                  <m:r>
                    <w:rPr>
                      <w:rFonts w:ascii="Cambria Math" w:hAnsi="Cambria Math"/>
                      <w:sz w:val="22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k</m:t>
                  </m:r>
                </m:den>
              </m:f>
            </m:e>
          </m:d>
          <m:r>
            <w:rPr>
              <w:rFonts w:ascii="Cambria Math" w:hAnsi="Cambria Math"/>
              <w:sz w:val="22"/>
            </w:rPr>
            <m:rPr>
              <m:sty m:val="p"/>
            </m:rPr>
            <m:t>right</m:t>
          </m:r>
          <m:r>
            <w:rPr>
              <w:rFonts w:ascii="Cambria Math" w:hAnsi="Cambria Math"/>
              <w:sz w:val="22"/>
            </w:rPr>
            <m:t>)</m:t>
          </m:r>
          <m:sSup>
            <m:e>
              <m:r>
                <w:rPr>
                  <w:rFonts w:ascii="Cambria Math" w:hAnsi="Cambria Math"/>
                  <w:sz w:val="22"/>
                </w:rPr>
                <m:t>x</m:t>
              </m:r>
            </m:e>
            <m:sup>
              <m:r>
                <w:rPr>
                  <w:rFonts w:ascii="Cambria Math" w:hAnsi="Cambria Math"/>
                  <w:sz w:val="22"/>
                </w:rPr>
                <m:t>k</m:t>
              </m:r>
            </m:sup>
          </m:sSup>
          <m:sSup>
            <m:e>
              <m:r>
                <w:rPr>
                  <w:rFonts w:ascii="Cambria Math" w:hAnsi="Cambria Math"/>
                  <w:sz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</w:rPr>
                <m:t>n-k</m:t>
              </m:r>
            </m:sup>
          </m:sSup>
        </m:oMath>
      </m:oMathPara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</w:t>
      </w:r>
    </w:p>
    <w:p w14:paraId="3C000000">
      <w:pPr>
        <w:ind w:firstLine="709" w:left="0"/>
        <w:jc w:val="both"/>
      </w:pPr>
    </w:p>
    <w:p w14:paraId="3D000000">
      <w:pPr>
        <w:ind w:firstLine="709" w:left="0"/>
        <w:jc w:val="both"/>
      </w:pPr>
    </w:p>
    <w:p w14:paraId="3E000000">
      <w:pPr>
        <w:tabs>
          <w:tab w:leader="none" w:pos="3882" w:val="left"/>
        </w:tabs>
        <w:ind w:firstLine="709" w:left="0"/>
        <w:jc w:val="center"/>
        <w:rPr>
          <w:b w:val="1"/>
        </w:rPr>
      </w:pPr>
      <w:r>
        <w:rPr>
          <w:b w:val="1"/>
        </w:rPr>
        <w:t>Список литературы</w:t>
      </w:r>
    </w:p>
    <w:p w14:paraId="3F000000">
      <w:pPr>
        <w:ind w:firstLine="709" w:left="0"/>
        <w:jc w:val="both"/>
      </w:pPr>
      <w:r>
        <w:t xml:space="preserve">1. </w:t>
      </w:r>
      <w:r>
        <w:rPr>
          <w:i w:val="1"/>
        </w:rPr>
        <w:t>Бердин</w:t>
      </w:r>
      <w:r>
        <w:rPr>
          <w:i w:val="1"/>
        </w:rPr>
        <w:t xml:space="preserve"> В.Х., Кокорин А.О., </w:t>
      </w:r>
      <w:r>
        <w:rPr>
          <w:i w:val="1"/>
        </w:rPr>
        <w:t>Юлкин</w:t>
      </w:r>
      <w:r>
        <w:rPr>
          <w:i w:val="1"/>
        </w:rPr>
        <w:t xml:space="preserve"> Г.М., </w:t>
      </w:r>
      <w:r>
        <w:rPr>
          <w:i w:val="1"/>
        </w:rPr>
        <w:t>Юлкин</w:t>
      </w:r>
      <w:r>
        <w:rPr>
          <w:i w:val="1"/>
        </w:rPr>
        <w:t xml:space="preserve"> М.А.</w:t>
      </w:r>
      <w:r>
        <w:t xml:space="preserve"> Возобновляемые источники энергии в изолированных населенных пунктах Российской Арктики, 2017 г.- 80 с.</w:t>
      </w:r>
    </w:p>
    <w:p w14:paraId="40000000">
      <w:pPr>
        <w:ind w:firstLine="709" w:left="360"/>
        <w:rPr>
          <w:color w:val="222222"/>
          <w:highlight w:val="white"/>
        </w:rPr>
      </w:pPr>
    </w:p>
    <w:p w14:paraId="41000000">
      <w:pPr>
        <w:spacing w:line="360" w:lineRule="auto"/>
        <w:ind w:firstLine="709" w:left="0"/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Body text (2)1"/>
    <w:basedOn w:val="Style_3"/>
    <w:link w:val="Style_7_ch"/>
    <w:pPr>
      <w:widowControl w:val="0"/>
      <w:spacing w:line="331" w:lineRule="exact"/>
      <w:ind/>
      <w:jc w:val="center"/>
    </w:pPr>
    <w:rPr>
      <w:rFonts w:asciiTheme="minorAscii" w:hAnsiTheme="minorHAnsi"/>
      <w:sz w:val="30"/>
    </w:rPr>
  </w:style>
  <w:style w:styleId="Style_7_ch" w:type="character">
    <w:name w:val="Body text (2)1"/>
    <w:basedOn w:val="Style_3_ch"/>
    <w:link w:val="Style_7"/>
    <w:rPr>
      <w:rFonts w:asciiTheme="minorAscii" w:hAnsiTheme="minorHAnsi"/>
      <w:sz w:val="30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3_ch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3" w:type="paragraph">
    <w:name w:val="rynqvb"/>
    <w:basedOn w:val="Style_14"/>
    <w:link w:val="Style_13_ch"/>
  </w:style>
  <w:style w:styleId="Style_13_ch" w:type="character">
    <w:name w:val="rynqvb"/>
    <w:basedOn w:val="Style_14_ch"/>
    <w:link w:val="Style_13"/>
  </w:style>
  <w:style w:styleId="Style_12" w:type="paragraph">
    <w:name w:val="annotation text"/>
    <w:basedOn w:val="Style_3"/>
    <w:link w:val="Style_12_ch"/>
    <w:rPr>
      <w:sz w:val="20"/>
    </w:rPr>
  </w:style>
  <w:style w:styleId="Style_12_ch" w:type="character">
    <w:name w:val="annotation text"/>
    <w:basedOn w:val="Style_3_ch"/>
    <w:link w:val="Style_12"/>
    <w:rPr>
      <w:sz w:val="20"/>
    </w:rPr>
  </w:style>
  <w:style w:styleId="Style_15" w:type="paragraph">
    <w:name w:val="Body text (2)3"/>
    <w:basedOn w:val="Style_7"/>
    <w:link w:val="Style_15_ch"/>
    <w:rPr>
      <w:color w:val="000000"/>
      <w:spacing w:val="0"/>
      <w:sz w:val="30"/>
      <w:highlight w:val="white"/>
      <w:u w:val="single"/>
    </w:rPr>
  </w:style>
  <w:style w:styleId="Style_15_ch" w:type="character">
    <w:name w:val="Body text (2)3"/>
    <w:basedOn w:val="Style_7_ch"/>
    <w:link w:val="Style_15"/>
    <w:rPr>
      <w:color w:val="000000"/>
      <w:spacing w:val="0"/>
      <w:sz w:val="30"/>
      <w:highlight w:val="white"/>
      <w:u w:val="single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4"/>
    <w:link w:val="Style_19_ch"/>
    <w:rPr>
      <w:color w:themeColor="hyperlink" w:val="0563C1"/>
      <w:u w:val="single"/>
    </w:rPr>
  </w:style>
  <w:style w:styleId="Style_19_ch" w:type="character">
    <w:name w:val="Hyperlink"/>
    <w:basedOn w:val="Style_14_ch"/>
    <w:link w:val="Style_19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annotation reference"/>
    <w:basedOn w:val="Style_14"/>
    <w:link w:val="Style_23_ch"/>
    <w:rPr>
      <w:sz w:val="16"/>
    </w:rPr>
  </w:style>
  <w:style w:styleId="Style_23_ch" w:type="character">
    <w:name w:val="annotation reference"/>
    <w:basedOn w:val="Style_14_ch"/>
    <w:link w:val="Style_23"/>
    <w:rPr>
      <w:sz w:val="16"/>
    </w:rPr>
  </w:style>
  <w:style w:styleId="Style_24" w:type="paragraph">
    <w:name w:val="Body text (2) + Bold"/>
    <w:basedOn w:val="Style_14"/>
    <w:link w:val="Style_24_ch"/>
    <w:rPr>
      <w:rFonts w:ascii="Times New Roman" w:hAnsi="Times New Roman"/>
      <w:b w:val="1"/>
      <w:i w:val="0"/>
      <w:smallCaps w:val="0"/>
      <w:strike w:val="0"/>
      <w:color w:val="000000"/>
      <w:spacing w:val="0"/>
      <w:sz w:val="30"/>
      <w:u w:val="none"/>
    </w:rPr>
  </w:style>
  <w:style w:styleId="Style_24_ch" w:type="character">
    <w:name w:val="Body text (2) + Bold"/>
    <w:basedOn w:val="Style_14_ch"/>
    <w:link w:val="Style_24"/>
    <w:rPr>
      <w:rFonts w:ascii="Times New Roman" w:hAnsi="Times New Roman"/>
      <w:b w:val="1"/>
      <w:i w:val="0"/>
      <w:smallCaps w:val="0"/>
      <w:strike w:val="0"/>
      <w:color w:val="000000"/>
      <w:spacing w:val="0"/>
      <w:sz w:val="30"/>
      <w:u w:val="none"/>
    </w:rPr>
  </w:style>
  <w:style w:styleId="Style_25" w:type="paragraph">
    <w:name w:val="FollowedHyperlink"/>
    <w:basedOn w:val="Style_14"/>
    <w:link w:val="Style_25_ch"/>
    <w:rPr>
      <w:color w:themeColor="followedHyperlink" w:val="954F72"/>
      <w:u w:val="single"/>
    </w:rPr>
  </w:style>
  <w:style w:styleId="Style_25_ch" w:type="character">
    <w:name w:val="FollowedHyperlink"/>
    <w:basedOn w:val="Style_14_ch"/>
    <w:link w:val="Style_25"/>
    <w:rPr>
      <w:color w:themeColor="followedHyperlink" w:val="954F72"/>
      <w:u w:val="single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alloon Text"/>
    <w:basedOn w:val="Style_3"/>
    <w:link w:val="Style_27_ch"/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Strong"/>
    <w:basedOn w:val="Style_14"/>
    <w:link w:val="Style_31_ch"/>
    <w:rPr>
      <w:b w:val="1"/>
    </w:rPr>
  </w:style>
  <w:style w:styleId="Style_31_ch" w:type="character">
    <w:name w:val="Strong"/>
    <w:basedOn w:val="Style_14_ch"/>
    <w:link w:val="Style_31"/>
    <w:rPr>
      <w:b w:val="1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2023-03-16T16:36:31Z</dcterms:modified>
</cp:coreProperties>
</file>