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B6E" w:rsidRDefault="00E43B6E" w:rsidP="00E43B6E">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E43B6E" w:rsidRDefault="00E43B6E" w:rsidP="00E43B6E">
      <w:pPr>
        <w:autoSpaceDE w:val="0"/>
        <w:autoSpaceDN w:val="0"/>
        <w:adjustRightInd w:val="0"/>
        <w:spacing w:after="0" w:line="240" w:lineRule="auto"/>
        <w:jc w:val="both"/>
        <w:outlineLvl w:val="0"/>
        <w:rPr>
          <w:rFonts w:ascii="Arial" w:hAnsi="Arial" w:cs="Arial"/>
          <w:sz w:val="20"/>
          <w:szCs w:val="20"/>
        </w:rPr>
      </w:pPr>
    </w:p>
    <w:p w:rsidR="00E43B6E" w:rsidRDefault="00E43B6E" w:rsidP="00E43B6E">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11 января 2016 г. N 40536</w:t>
      </w:r>
    </w:p>
    <w:p w:rsidR="00E43B6E" w:rsidRDefault="00E43B6E" w:rsidP="00E43B6E">
      <w:pPr>
        <w:pBdr>
          <w:top w:val="single" w:sz="6" w:space="0" w:color="auto"/>
        </w:pBdr>
        <w:autoSpaceDE w:val="0"/>
        <w:autoSpaceDN w:val="0"/>
        <w:adjustRightInd w:val="0"/>
        <w:spacing w:before="100" w:after="100" w:line="240" w:lineRule="auto"/>
        <w:jc w:val="both"/>
        <w:rPr>
          <w:rFonts w:ascii="Arial" w:hAnsi="Arial" w:cs="Arial"/>
          <w:sz w:val="2"/>
          <w:szCs w:val="2"/>
        </w:rPr>
      </w:pP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ОБРАЗОВАНИЯ И НАУКИ РОССИЙСКОЙ ФЕДЕРАЦИИ</w:t>
      </w: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4 декабря 2015 г. N 1426</w:t>
      </w: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w:t>
      </w: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ГОСУДАРСТВЕННОГО ОБРАЗОВАТЕЛЬНОГО СТАНДАРТА</w:t>
      </w: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ПО НАПРАВЛЕНИЮ ПОДГОТОВКИ 44.03.01</w:t>
      </w: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ПЕДАГОГИЧЕСКОЕ ОБРАЗОВАНИЕ (УРОВЕНЬ БАКАЛАВРИАТА)</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и </w:t>
      </w:r>
      <w:hyperlink r:id="rId6" w:history="1">
        <w:r>
          <w:rPr>
            <w:rFonts w:ascii="Arial" w:hAnsi="Arial" w:cs="Arial"/>
            <w:color w:val="0000FF"/>
            <w:sz w:val="20"/>
            <w:szCs w:val="20"/>
          </w:rPr>
          <w:t>пунктом 17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4" w:history="1">
        <w:r>
          <w:rPr>
            <w:rFonts w:ascii="Arial" w:hAnsi="Arial" w:cs="Arial"/>
            <w:color w:val="0000FF"/>
            <w:sz w:val="20"/>
            <w:szCs w:val="20"/>
          </w:rPr>
          <w:t>стандарт</w:t>
        </w:r>
      </w:hyperlink>
      <w:r>
        <w:rPr>
          <w:rFonts w:ascii="Arial" w:hAnsi="Arial" w:cs="Arial"/>
          <w:sz w:val="20"/>
          <w:szCs w:val="20"/>
        </w:rPr>
        <w:t xml:space="preserve"> высшего образования по направлению подготовки 44.03.01 Педагогическое образование (уровень бакалавриата).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hyperlink r:id="rId7" w:history="1">
        <w:r>
          <w:rPr>
            <w:rFonts w:ascii="Arial" w:hAnsi="Arial" w:cs="Arial"/>
            <w:color w:val="0000FF"/>
            <w:sz w:val="20"/>
            <w:szCs w:val="20"/>
          </w:rPr>
          <w:t>приказ</w:t>
        </w:r>
      </w:hyperlink>
      <w:r>
        <w:rPr>
          <w:rFonts w:ascii="Arial" w:hAnsi="Arial" w:cs="Arial"/>
          <w:sz w:val="20"/>
          <w:szCs w:val="20"/>
        </w:rPr>
        <w:t xml:space="preserve"> Министерства образования и науки Российской Федерации от 22 декабря 2009 г. N 788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050100 Педагогическое образование (квалификация (степень) "бакалавр")" (зарегистрирован Министерством юстиции Российской Федерации 5 февраля 2010 г., регистрационный N 16277);</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hyperlink r:id="rId8" w:history="1">
        <w:r>
          <w:rPr>
            <w:rFonts w:ascii="Arial" w:hAnsi="Arial" w:cs="Arial"/>
            <w:color w:val="0000FF"/>
            <w:sz w:val="20"/>
            <w:szCs w:val="20"/>
          </w:rPr>
          <w:t>пункт 49</w:t>
        </w:r>
      </w:hyperlink>
      <w:r>
        <w:rPr>
          <w:rFonts w:ascii="Arial" w:hAnsi="Arial" w:cs="Arial"/>
          <w:sz w:val="20"/>
          <w:szCs w:val="20"/>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E43B6E" w:rsidRDefault="00E43B6E" w:rsidP="00E43B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Д.В.ЛИВАНОВ</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E43B6E" w:rsidRDefault="00E43B6E" w:rsidP="00E43B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образования</w:t>
      </w:r>
    </w:p>
    <w:p w:rsidR="00E43B6E" w:rsidRDefault="00E43B6E" w:rsidP="00E43B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науки Российской Федерации</w:t>
      </w:r>
    </w:p>
    <w:p w:rsidR="00E43B6E" w:rsidRDefault="00E43B6E" w:rsidP="00E43B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4 декабря 2015 г. N 1426</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4"/>
      <w:bookmarkEnd w:id="0"/>
      <w:r>
        <w:rPr>
          <w:rFonts w:ascii="Arial" w:eastAsiaTheme="minorHAnsi" w:hAnsi="Arial" w:cs="Arial"/>
          <w:color w:val="auto"/>
          <w:sz w:val="20"/>
          <w:szCs w:val="20"/>
        </w:rPr>
        <w:t>ФЕДЕРАЛЬНЫЙ ГОСУДАРСТВЕННЫЙ ОБРАЗОВАТЕЛЬНЫЙ СТАНДАРТ</w:t>
      </w: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w:t>
      </w: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УРОВЕНЬ ВЫСШЕГО ОБРАЗОВАНИЯ</w:t>
      </w: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БАКАЛАВРИАТ</w:t>
      </w: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НАПРАВЛЕНИЕ ПОДГОТОВКИ</w:t>
      </w:r>
    </w:p>
    <w:p w:rsidR="00E43B6E" w:rsidRDefault="00E43B6E" w:rsidP="00E43B6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44.03.01 ПЕДАГОГИЧЕСКОЕ ОБРАЗОВАНИЕ</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ОБЛАСТЬ ПРИМЕНЕНИЯ</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44.03.01 Педагогическое образование (далее соответственно - программа бакалавриата, направление подготовки).</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ИСПОЛЬЗУЕМЫЕ СОКРАЩЕНИЯ</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государственном образовательном стандарте используются следующие сокращения: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 - общекультурные компетенции;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ОПК - общепрофессиональные компетенции;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ПК - профессиональные компетенции;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ФГОС ВО - федеральный государственный образовательный стандарт высшего образования;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форма - сетевая форма реализации образовательных программ.</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ХАРАКТЕРИСТИКА НАПРАВЛЕНИЯ ПОДГОТОВКИ</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Обучение по программе бакалавриата в организациях осуществляется в очной, очно-заочной и заочной формах обучения.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Срок получения образования по программе бакалавриата: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3.4. При реализации программы бакалавриата организация вправе применять электронное обучение и дистанционные образовательные технологии.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Реализация программы бакалавриата возможна с использованием сетевой формы.</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ХАРАКТЕРИСТИКА ПРОФЕССИОНАЛЬНОЙ ДЕЯТЕЛЬНОСТИ</w:t>
      </w:r>
    </w:p>
    <w:p w:rsidR="00E43B6E" w:rsidRDefault="00E43B6E" w:rsidP="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ВЫПУСКНИКОВ, ОСВОИВШИХ ПРОГРАММУ БАКАЛАВРИАТА</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Область профессиональной деятельности выпускников, освоивших программу бакалавриата, включает образование, социальную сферу, культуру.</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Объектами профессиональной деятельности выпускников, освоивших программу бакалавриата, являются обучение, воспитание, развитие, просвещение, образовательные системы.</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Виды профессиональной деятельности, к которым готовятся выпускники, освоившие программу бакалавриата: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исследовательская;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культурно-просветительская.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деятельность:</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изучение возможностей, потребностей, достижений обучающихся в области образования;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обучения и воспитания в сфере образования в соответствии с требованиями образовательных стандартов;</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использование технологий, соответствующих возрастным особенностям обучающихся и отражающих специфику предметной области;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образовательной деятельности с учетом особых образовательных потребностей;</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организация взаимодействия с общественными и образовательными организациями, детскими коллективами, родителями (законными представителями) обучающихся, участие в самоуправлении и управлении школьным коллективом для решения задач профессиональной деятельности;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образовательной среды для обеспечения качества образования, в том числе с применением информационных технологий;</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профессионального самообразования и личностного роста;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охраны жизни и здоровья обучающихся во время образовательного процесса;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деятельность:</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проектирование содержания образовательных программ и современных педагогических технологий с учетом особенностей образовательного процесса, задач воспитания и развития личности через учебные предметы;</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моделирование индивидуальных маршрутов обучения, воспитания и развития обучающихся, а также собственного образовательного маршрута и профессиональной карьеры;</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исследовательская деятельность:</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постановка и решение исследовательских задач в области науки и образования;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использование в профессиональной деятельности методов научного исследования;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культурно-просветительская деятельность:</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изучение и формирование потребностей детей и взрослых в культурно-просветительской деятельности;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культурного пространства;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и реализация культурно-просветительских программ для различных социальных групп.</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ТРЕБОВАНИЯ К РЕЗУЛЬТАТАМ ОСВОЕНИЯ ПРОГРАММЫ БАКАЛАВРИАТА</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Выпускник, освоивший программу бакалавриата, должен обладать следующими общекультурными компетенциями: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философских и социогуманитарных знаний для формирования научного мировоззрения (ОК-1);</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анализировать основные этапы и закономерности исторического развития для формирования патриотизма и гражданской позиции (ОК-2);</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естественнонаучные и математические знания для ориентирования в современном информационном пространстве (ОК-3);</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работать в команде, толерантно воспринимать социальные, культурные и личностные различия (ОК-5);</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самоорганизации и самообразованию (ОК-6);</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базовые правовые знания в различных сферах деятельности (ОК-7);</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готовностью поддерживать уровень физической подготовки, обеспечивающий полноценную деятельность (ОК-8);</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приемы оказания первой помощи, методы защиты в условиях чрезвычайных ситуаций (ОК-9).</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Выпускник, освоивший программу бакалавриата, должен обладать следующими общепрофессиональными компетенциями: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сознавать социальную значимость своей будущей профессии, обладать мотивацией к осуществлению профессиональной деятельности (ОПК-1);</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к психолого-педагогическому сопровождению учебно-воспитательного процесса (ОПК-3);</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к профессиональной деятельности в соответствии с нормативно-правовыми актами сферы образования (ОПК-4);</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основами профессиональной этики и речевой культуры (ОПК-5);</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к обеспечению охраны жизни и здоровья обучающихся (ОПК-6).</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деятельность:</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реализовывать образовательные программы по учебному предмету в соответствии с требованиями образовательных стандартов (ПК-1);</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современные методы и технологии обучения и диагностики (ПК-2);</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решать задачи воспитания и духовно-нравственного развития обучающихся в учебной и внеучебной деятельности (ПК-3);</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учебного предмета (ПК-4);</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педагогическое сопровождение социализации и профессионального самоопределения обучающихся (ПК-5);</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к взаимодействию с участниками образовательного процесса (ПК-6);</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 (ПК-7);</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деятельность:</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проектировать образовательные программы (ПК-8);</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проектировать индивидуальные образовательные маршруты обучающихся (ПК-9);</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проектировать траектории своего профессионального роста и личностного развития (ПК-10);</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исследовательская деятельность:</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(ПК-11);</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руководить учебно-исследовательской деятельностью обучающихся (ПК-12);</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культурно-просветительская деятельность:</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выявлять и формировать культурные потребности различных социальных групп (ПК-13);</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разрабатывать и реализовывать культурно-просветительские программы (ПК-14).</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ТРЕБОВАНИЯ К СТРУКТУРЕ ПРОГРАММЫ БАКАЛАВРИАТА</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Программа бакалавриата состоит из следующих блоков:</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hyperlink w:anchor="Par167" w:history="1">
        <w:r>
          <w:rPr>
            <w:rFonts w:ascii="Arial" w:hAnsi="Arial" w:cs="Arial"/>
            <w:color w:val="0000FF"/>
            <w:sz w:val="20"/>
            <w:szCs w:val="20"/>
          </w:rPr>
          <w:t>Блок 1</w:t>
        </w:r>
      </w:hyperlink>
      <w:r>
        <w:rPr>
          <w:rFonts w:ascii="Arial" w:hAnsi="Arial" w:cs="Arial"/>
          <w:sz w:val="20"/>
          <w:szCs w:val="20"/>
        </w:rP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hyperlink w:anchor="Par178" w:history="1">
        <w:r>
          <w:rPr>
            <w:rFonts w:ascii="Arial" w:hAnsi="Arial" w:cs="Arial"/>
            <w:color w:val="0000FF"/>
            <w:sz w:val="20"/>
            <w:szCs w:val="20"/>
          </w:rPr>
          <w:t>Блок 2</w:t>
        </w:r>
      </w:hyperlink>
      <w:r>
        <w:rPr>
          <w:rFonts w:ascii="Arial" w:hAnsi="Arial" w:cs="Arial"/>
          <w:sz w:val="20"/>
          <w:szCs w:val="20"/>
        </w:rPr>
        <w:t xml:space="preserve"> "Практики", который в полном объеме относится к вариативной части программы.</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hyperlink w:anchor="Par185"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9" w:history="1">
        <w:r>
          <w:rPr>
            <w:rFonts w:ascii="Arial" w:hAnsi="Arial" w:cs="Arial"/>
            <w:color w:val="0000FF"/>
            <w:sz w:val="20"/>
            <w:szCs w:val="20"/>
          </w:rPr>
          <w:t>Перечень</w:t>
        </w:r>
      </w:hyperlink>
      <w:r>
        <w:rPr>
          <w:rFonts w:ascii="Arial" w:hAnsi="Arial" w:cs="Arial"/>
          <w:sz w:val="20"/>
          <w:szCs w:val="20"/>
        </w:rP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Структура программы бакалавриата</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rsidR="00E43B6E" w:rsidRDefault="00E43B6E" w:rsidP="00E43B6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47"/>
        <w:gridCol w:w="4649"/>
        <w:gridCol w:w="1877"/>
        <w:gridCol w:w="1814"/>
      </w:tblGrid>
      <w:tr w:rsidR="00E43B6E">
        <w:tc>
          <w:tcPr>
            <w:tcW w:w="5896" w:type="dxa"/>
            <w:gridSpan w:val="2"/>
            <w:vMerge w:val="restart"/>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Структура программы бакалавриата</w:t>
            </w:r>
          </w:p>
        </w:tc>
        <w:tc>
          <w:tcPr>
            <w:tcW w:w="3691" w:type="dxa"/>
            <w:gridSpan w:val="2"/>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программы бакалавриата в з.е.</w:t>
            </w:r>
          </w:p>
        </w:tc>
      </w:tr>
      <w:tr w:rsidR="00E43B6E">
        <w:tc>
          <w:tcPr>
            <w:tcW w:w="5896" w:type="dxa"/>
            <w:gridSpan w:val="2"/>
            <w:vMerge/>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both"/>
              <w:rPr>
                <w:rFonts w:ascii="Arial" w:hAnsi="Arial" w:cs="Arial"/>
                <w:sz w:val="20"/>
                <w:szCs w:val="20"/>
              </w:rPr>
            </w:pPr>
          </w:p>
        </w:tc>
        <w:tc>
          <w:tcPr>
            <w:tcW w:w="1877"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академического бакалавриата</w:t>
            </w:r>
          </w:p>
        </w:tc>
        <w:tc>
          <w:tcPr>
            <w:tcW w:w="1814"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прикладного бакалавриата</w:t>
            </w:r>
          </w:p>
        </w:tc>
      </w:tr>
      <w:tr w:rsidR="00E43B6E">
        <w:tc>
          <w:tcPr>
            <w:tcW w:w="1247"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rPr>
                <w:rFonts w:ascii="Arial" w:hAnsi="Arial" w:cs="Arial"/>
                <w:sz w:val="20"/>
                <w:szCs w:val="20"/>
              </w:rPr>
            </w:pPr>
            <w:bookmarkStart w:id="1" w:name="Par167"/>
            <w:bookmarkEnd w:id="1"/>
            <w:r>
              <w:rPr>
                <w:rFonts w:ascii="Arial" w:hAnsi="Arial" w:cs="Arial"/>
                <w:sz w:val="20"/>
                <w:szCs w:val="20"/>
              </w:rPr>
              <w:t>Блок 1</w:t>
            </w:r>
          </w:p>
        </w:tc>
        <w:tc>
          <w:tcPr>
            <w:tcW w:w="4649"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rPr>
                <w:rFonts w:ascii="Arial" w:hAnsi="Arial" w:cs="Arial"/>
                <w:sz w:val="20"/>
                <w:szCs w:val="20"/>
              </w:rPr>
            </w:pPr>
            <w:r>
              <w:rPr>
                <w:rFonts w:ascii="Arial" w:hAnsi="Arial" w:cs="Arial"/>
                <w:sz w:val="20"/>
                <w:szCs w:val="20"/>
              </w:rPr>
              <w:t>Дисциплины (модули)</w:t>
            </w:r>
          </w:p>
        </w:tc>
        <w:tc>
          <w:tcPr>
            <w:tcW w:w="1877"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204 - 210</w:t>
            </w:r>
          </w:p>
        </w:tc>
        <w:tc>
          <w:tcPr>
            <w:tcW w:w="1814"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189 - 198</w:t>
            </w:r>
          </w:p>
        </w:tc>
      </w:tr>
      <w:tr w:rsidR="00E43B6E">
        <w:tc>
          <w:tcPr>
            <w:tcW w:w="1247" w:type="dxa"/>
            <w:vMerge w:val="restart"/>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rPr>
                <w:rFonts w:ascii="Arial" w:hAnsi="Arial" w:cs="Arial"/>
                <w:sz w:val="20"/>
                <w:szCs w:val="20"/>
              </w:rPr>
            </w:pPr>
          </w:p>
        </w:tc>
        <w:tc>
          <w:tcPr>
            <w:tcW w:w="4649"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rPr>
                <w:rFonts w:ascii="Arial" w:hAnsi="Arial" w:cs="Arial"/>
                <w:sz w:val="20"/>
                <w:szCs w:val="20"/>
              </w:rPr>
            </w:pPr>
            <w:bookmarkStart w:id="2" w:name="Par172"/>
            <w:bookmarkEnd w:id="2"/>
            <w:r>
              <w:rPr>
                <w:rFonts w:ascii="Arial" w:hAnsi="Arial" w:cs="Arial"/>
                <w:sz w:val="20"/>
                <w:szCs w:val="20"/>
              </w:rPr>
              <w:t>Базовая часть</w:t>
            </w:r>
          </w:p>
        </w:tc>
        <w:tc>
          <w:tcPr>
            <w:tcW w:w="1877"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51 - 75</w:t>
            </w:r>
          </w:p>
        </w:tc>
        <w:tc>
          <w:tcPr>
            <w:tcW w:w="1814"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36 - 63</w:t>
            </w:r>
          </w:p>
        </w:tc>
      </w:tr>
      <w:tr w:rsidR="00E43B6E">
        <w:tc>
          <w:tcPr>
            <w:tcW w:w="1247" w:type="dxa"/>
            <w:vMerge/>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both"/>
              <w:rPr>
                <w:rFonts w:ascii="Arial" w:hAnsi="Arial" w:cs="Arial"/>
                <w:sz w:val="20"/>
                <w:szCs w:val="20"/>
              </w:rPr>
            </w:pPr>
          </w:p>
        </w:tc>
        <w:tc>
          <w:tcPr>
            <w:tcW w:w="4649"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rPr>
                <w:rFonts w:ascii="Arial" w:hAnsi="Arial" w:cs="Arial"/>
                <w:sz w:val="20"/>
                <w:szCs w:val="20"/>
              </w:rPr>
            </w:pPr>
            <w:bookmarkStart w:id="3" w:name="Par175"/>
            <w:bookmarkEnd w:id="3"/>
            <w:r>
              <w:rPr>
                <w:rFonts w:ascii="Arial" w:hAnsi="Arial" w:cs="Arial"/>
                <w:sz w:val="20"/>
                <w:szCs w:val="20"/>
              </w:rPr>
              <w:t>Вариативная часть</w:t>
            </w:r>
          </w:p>
        </w:tc>
        <w:tc>
          <w:tcPr>
            <w:tcW w:w="1877"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135 - 153</w:t>
            </w:r>
          </w:p>
        </w:tc>
        <w:tc>
          <w:tcPr>
            <w:tcW w:w="1814"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135 - 153</w:t>
            </w:r>
          </w:p>
        </w:tc>
      </w:tr>
      <w:tr w:rsidR="00E43B6E">
        <w:tc>
          <w:tcPr>
            <w:tcW w:w="1247" w:type="dxa"/>
            <w:vMerge w:val="restart"/>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rPr>
                <w:rFonts w:ascii="Arial" w:hAnsi="Arial" w:cs="Arial"/>
                <w:sz w:val="20"/>
                <w:szCs w:val="20"/>
              </w:rPr>
            </w:pPr>
            <w:bookmarkStart w:id="4" w:name="Par178"/>
            <w:bookmarkEnd w:id="4"/>
            <w:r>
              <w:rPr>
                <w:rFonts w:ascii="Arial" w:hAnsi="Arial" w:cs="Arial"/>
                <w:sz w:val="20"/>
                <w:szCs w:val="20"/>
              </w:rPr>
              <w:t>Блок 2</w:t>
            </w:r>
          </w:p>
        </w:tc>
        <w:tc>
          <w:tcPr>
            <w:tcW w:w="4649"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rPr>
                <w:rFonts w:ascii="Arial" w:hAnsi="Arial" w:cs="Arial"/>
                <w:sz w:val="20"/>
                <w:szCs w:val="20"/>
              </w:rPr>
            </w:pPr>
            <w:r>
              <w:rPr>
                <w:rFonts w:ascii="Arial" w:hAnsi="Arial" w:cs="Arial"/>
                <w:sz w:val="20"/>
                <w:szCs w:val="20"/>
              </w:rPr>
              <w:t>Практики</w:t>
            </w:r>
          </w:p>
        </w:tc>
        <w:tc>
          <w:tcPr>
            <w:tcW w:w="1877"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21 - 30</w:t>
            </w:r>
          </w:p>
        </w:tc>
        <w:tc>
          <w:tcPr>
            <w:tcW w:w="1814"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33 - 45</w:t>
            </w:r>
          </w:p>
        </w:tc>
      </w:tr>
      <w:tr w:rsidR="00E43B6E">
        <w:tc>
          <w:tcPr>
            <w:tcW w:w="1247" w:type="dxa"/>
            <w:vMerge/>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both"/>
              <w:rPr>
                <w:rFonts w:ascii="Arial" w:hAnsi="Arial" w:cs="Arial"/>
                <w:sz w:val="20"/>
                <w:szCs w:val="20"/>
              </w:rPr>
            </w:pPr>
          </w:p>
        </w:tc>
        <w:tc>
          <w:tcPr>
            <w:tcW w:w="4649"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1877"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21 - 30</w:t>
            </w:r>
          </w:p>
        </w:tc>
        <w:tc>
          <w:tcPr>
            <w:tcW w:w="1814"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33 - 45</w:t>
            </w:r>
          </w:p>
        </w:tc>
      </w:tr>
      <w:tr w:rsidR="00E43B6E">
        <w:tc>
          <w:tcPr>
            <w:tcW w:w="1247" w:type="dxa"/>
            <w:vMerge w:val="restart"/>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rPr>
                <w:rFonts w:ascii="Arial" w:hAnsi="Arial" w:cs="Arial"/>
                <w:sz w:val="20"/>
                <w:szCs w:val="20"/>
              </w:rPr>
            </w:pPr>
            <w:bookmarkStart w:id="5" w:name="Par185"/>
            <w:bookmarkEnd w:id="5"/>
            <w:r>
              <w:rPr>
                <w:rFonts w:ascii="Arial" w:hAnsi="Arial" w:cs="Arial"/>
                <w:sz w:val="20"/>
                <w:szCs w:val="20"/>
              </w:rPr>
              <w:t>Блок 3</w:t>
            </w:r>
          </w:p>
        </w:tc>
        <w:tc>
          <w:tcPr>
            <w:tcW w:w="4649"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итоговая аттестация</w:t>
            </w:r>
          </w:p>
        </w:tc>
        <w:tc>
          <w:tcPr>
            <w:tcW w:w="1877"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c>
          <w:tcPr>
            <w:tcW w:w="1814"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E43B6E">
        <w:tc>
          <w:tcPr>
            <w:tcW w:w="1247" w:type="dxa"/>
            <w:vMerge/>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both"/>
              <w:rPr>
                <w:rFonts w:ascii="Arial" w:hAnsi="Arial" w:cs="Arial"/>
                <w:sz w:val="20"/>
                <w:szCs w:val="20"/>
              </w:rPr>
            </w:pPr>
          </w:p>
        </w:tc>
        <w:tc>
          <w:tcPr>
            <w:tcW w:w="4649"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1877"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c>
          <w:tcPr>
            <w:tcW w:w="1814"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E43B6E">
        <w:tc>
          <w:tcPr>
            <w:tcW w:w="5896" w:type="dxa"/>
            <w:gridSpan w:val="2"/>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rPr>
                <w:rFonts w:ascii="Arial" w:hAnsi="Arial" w:cs="Arial"/>
                <w:sz w:val="20"/>
                <w:szCs w:val="20"/>
              </w:rPr>
            </w:pPr>
            <w:r>
              <w:rPr>
                <w:rFonts w:ascii="Arial" w:hAnsi="Arial" w:cs="Arial"/>
                <w:sz w:val="20"/>
                <w:szCs w:val="20"/>
              </w:rPr>
              <w:t>Объем программы бакалавриата</w:t>
            </w:r>
          </w:p>
        </w:tc>
        <w:tc>
          <w:tcPr>
            <w:tcW w:w="1877"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c>
          <w:tcPr>
            <w:tcW w:w="1814" w:type="dxa"/>
            <w:tcBorders>
              <w:top w:val="single" w:sz="4" w:space="0" w:color="auto"/>
              <w:left w:val="single" w:sz="4" w:space="0" w:color="auto"/>
              <w:bottom w:val="single" w:sz="4" w:space="0" w:color="auto"/>
              <w:right w:val="single" w:sz="4" w:space="0" w:color="auto"/>
            </w:tcBorders>
          </w:tcPr>
          <w:p w:rsidR="00E43B6E" w:rsidRDefault="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r>
    </w:tbl>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 Дисциплины (модули) по философии, истории, иностранному языку, безопасности жизнедеятельности реализуются в рамках </w:t>
      </w:r>
      <w:hyperlink w:anchor="Par172" w:history="1">
        <w:r>
          <w:rPr>
            <w:rFonts w:ascii="Arial" w:hAnsi="Arial" w:cs="Arial"/>
            <w:color w:val="0000FF"/>
            <w:sz w:val="20"/>
            <w:szCs w:val="20"/>
          </w:rPr>
          <w:t>базовой части Блока 1</w:t>
        </w:r>
      </w:hyperlink>
      <w:r>
        <w:rPr>
          <w:rFonts w:ascii="Arial" w:hAnsi="Arial" w:cs="Arial"/>
          <w:sz w:val="20"/>
          <w:szCs w:val="20"/>
        </w:rP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Дисциплины (модули) по физической культуре и спорту реализуются в рамках:</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hyperlink w:anchor="Par172" w:history="1">
        <w:r>
          <w:rPr>
            <w:rFonts w:ascii="Arial" w:hAnsi="Arial" w:cs="Arial"/>
            <w:color w:val="0000FF"/>
            <w:sz w:val="20"/>
            <w:szCs w:val="20"/>
          </w:rPr>
          <w:t>базовой части Блока 1</w:t>
        </w:r>
      </w:hyperlink>
      <w:r>
        <w:rPr>
          <w:rFonts w:ascii="Arial" w:hAnsi="Arial" w:cs="Arial"/>
          <w:sz w:val="20"/>
          <w:szCs w:val="20"/>
        </w:rPr>
        <w:t xml:space="preserve"> "Дисциплины (модули)" программы бакалавриата в объеме не менее 72 академических часов (2 з.е.) в очной форме обучения;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В </w:t>
      </w:r>
      <w:hyperlink w:anchor="Par178" w:history="1">
        <w:r>
          <w:rPr>
            <w:rFonts w:ascii="Arial" w:hAnsi="Arial" w:cs="Arial"/>
            <w:color w:val="0000FF"/>
            <w:sz w:val="20"/>
            <w:szCs w:val="20"/>
          </w:rPr>
          <w:t>Блок 2</w:t>
        </w:r>
      </w:hyperlink>
      <w:r>
        <w:rPr>
          <w:rFonts w:ascii="Arial" w:hAnsi="Arial" w:cs="Arial"/>
          <w:sz w:val="20"/>
          <w:szCs w:val="20"/>
        </w:rPr>
        <w:t xml:space="preserve"> "Практики" входят учебная и производственная, в том числе преддипломная, практики.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учебной практики: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Способы проведения учебной практики: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производственной практики: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профессиональных умений и опыта профессиональной деятельности;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практика.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производственной практики: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Преддипломная практика проводится для выполнения выпускной квалификационной работы и является обязательной.</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Учебная и (или) производственная практики могут проводиться в структурных подразделениях организации.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В </w:t>
      </w:r>
      <w:hyperlink w:anchor="Par185"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w:t>
      </w:r>
      <w:hyperlink w:anchor="Par175" w:history="1">
        <w:r>
          <w:rPr>
            <w:rFonts w:ascii="Arial" w:hAnsi="Arial" w:cs="Arial"/>
            <w:color w:val="0000FF"/>
            <w:sz w:val="20"/>
            <w:szCs w:val="20"/>
          </w:rPr>
          <w:t>вариативной части Блока 1</w:t>
        </w:r>
      </w:hyperlink>
      <w:r>
        <w:rPr>
          <w:rFonts w:ascii="Arial" w:hAnsi="Arial" w:cs="Arial"/>
          <w:sz w:val="20"/>
          <w:szCs w:val="20"/>
        </w:rPr>
        <w:t xml:space="preserve"> "Дисциплины (модули)".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6.10. Количество часов, отведенных на занятия лекционного типа, в целом по </w:t>
      </w:r>
      <w:hyperlink w:anchor="Par167" w:history="1">
        <w:r>
          <w:rPr>
            <w:rFonts w:ascii="Arial" w:hAnsi="Arial" w:cs="Arial"/>
            <w:color w:val="0000FF"/>
            <w:sz w:val="20"/>
            <w:szCs w:val="20"/>
          </w:rPr>
          <w:t>Блоку 1</w:t>
        </w:r>
      </w:hyperlink>
      <w:r>
        <w:rPr>
          <w:rFonts w:ascii="Arial" w:hAnsi="Arial" w:cs="Arial"/>
          <w:sz w:val="20"/>
          <w:szCs w:val="20"/>
        </w:rPr>
        <w:t xml:space="preserve"> "Дисциплины (модули)" должно составлять не более 40 процентов от общего количества часов аудиторных занятий, отведенных на реализацию данного </w:t>
      </w:r>
      <w:hyperlink w:anchor="Par167" w:history="1">
        <w:r>
          <w:rPr>
            <w:rFonts w:ascii="Arial" w:hAnsi="Arial" w:cs="Arial"/>
            <w:color w:val="0000FF"/>
            <w:sz w:val="20"/>
            <w:szCs w:val="20"/>
          </w:rPr>
          <w:t>Блока</w:t>
        </w:r>
      </w:hyperlink>
      <w:r>
        <w:rPr>
          <w:rFonts w:ascii="Arial" w:hAnsi="Arial" w:cs="Arial"/>
          <w:sz w:val="20"/>
          <w:szCs w:val="20"/>
        </w:rPr>
        <w:t>.</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ТРЕБОВАНИЯ К УСЛОВИЯМ РЕАЛИЗАЦИИ</w:t>
      </w:r>
    </w:p>
    <w:p w:rsidR="00E43B6E" w:rsidRDefault="00E43B6E" w:rsidP="00E43B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БАКАЛАВРИАТА</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7.1. Общесистемные требования к реализации программы бакалавриата.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w:t>
      </w:r>
      <w:r>
        <w:rPr>
          <w:rFonts w:ascii="Arial" w:hAnsi="Arial" w:cs="Arial"/>
          <w:sz w:val="20"/>
          <w:szCs w:val="20"/>
        </w:rPr>
        <w:lastRenderedPageBreak/>
        <w:t>которой имеется доступ к информационно-телекоммуникационной сети "Интернет" (далее - сеть "Интернет"), как на территории организации, так и вне ее.</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Электронная информационно-образовательная среда организации должна обеспечивать:</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фиксацию хода образовательного процесса, результатов промежуточной аттестации и результатов освоения программы бакалавриата;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Федеральный </w:t>
      </w:r>
      <w:hyperlink r:id="rId10"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1"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E43B6E" w:rsidRDefault="00E43B6E" w:rsidP="00E43B6E">
      <w:pPr>
        <w:autoSpaceDE w:val="0"/>
        <w:autoSpaceDN w:val="0"/>
        <w:adjustRightInd w:val="0"/>
        <w:spacing w:after="0" w:line="240" w:lineRule="auto"/>
        <w:ind w:firstLine="540"/>
        <w:jc w:val="both"/>
        <w:rPr>
          <w:rFonts w:ascii="Arial" w:hAnsi="Arial" w:cs="Arial"/>
          <w:sz w:val="20"/>
          <w:szCs w:val="20"/>
        </w:rPr>
      </w:pPr>
    </w:p>
    <w:p w:rsidR="00E43B6E" w:rsidRDefault="00E43B6E" w:rsidP="00E43B6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2" w:history="1">
        <w:r>
          <w:rPr>
            <w:rFonts w:ascii="Arial" w:hAnsi="Arial" w:cs="Arial"/>
            <w:color w:val="0000FF"/>
            <w:sz w:val="20"/>
            <w:szCs w:val="20"/>
          </w:rPr>
          <w:t>разделе</w:t>
        </w:r>
      </w:hyperlink>
      <w:r>
        <w:rPr>
          <w:rFonts w:ascii="Arial" w:hAnsi="Arial" w:cs="Arial"/>
          <w:sz w:val="20"/>
          <w:szCs w:val="20"/>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7.2. Требования к кадровым условиям реализации программы бакалавриата.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50 процентов.</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составлять не менее 10 процентов.</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7.3. Требования к материально-техническому и учебно-методическому обеспечению программы бакалавриата.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7.4. Требования к финансовым условиям реализации программы бакалавриата.</w:t>
      </w:r>
    </w:p>
    <w:p w:rsidR="00E43B6E" w:rsidRDefault="00E43B6E" w:rsidP="00E43B6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3" w:history="1">
        <w:r>
          <w:rPr>
            <w:rFonts w:ascii="Arial" w:hAnsi="Arial" w:cs="Arial"/>
            <w:color w:val="0000FF"/>
            <w:sz w:val="20"/>
            <w:szCs w:val="20"/>
          </w:rPr>
          <w:t>Методикой</w:t>
        </w:r>
      </w:hyperlink>
      <w:r>
        <w:rPr>
          <w:rFonts w:ascii="Arial" w:hAnsi="Arial" w:cs="Arial"/>
          <w:sz w:val="20"/>
          <w:szCs w:val="20"/>
        </w:rP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autoSpaceDE w:val="0"/>
        <w:autoSpaceDN w:val="0"/>
        <w:adjustRightInd w:val="0"/>
        <w:spacing w:after="0" w:line="240" w:lineRule="auto"/>
        <w:jc w:val="both"/>
        <w:rPr>
          <w:rFonts w:ascii="Arial" w:hAnsi="Arial" w:cs="Arial"/>
          <w:sz w:val="20"/>
          <w:szCs w:val="20"/>
        </w:rPr>
      </w:pPr>
    </w:p>
    <w:p w:rsidR="00E43B6E" w:rsidRDefault="00E43B6E" w:rsidP="00E43B6E">
      <w:pPr>
        <w:pBdr>
          <w:top w:val="single" w:sz="6" w:space="0" w:color="auto"/>
        </w:pBdr>
        <w:autoSpaceDE w:val="0"/>
        <w:autoSpaceDN w:val="0"/>
        <w:adjustRightInd w:val="0"/>
        <w:spacing w:before="100" w:after="100" w:line="240" w:lineRule="auto"/>
        <w:jc w:val="both"/>
        <w:rPr>
          <w:rFonts w:ascii="Arial" w:hAnsi="Arial" w:cs="Arial"/>
          <w:sz w:val="2"/>
          <w:szCs w:val="2"/>
        </w:rPr>
      </w:pPr>
    </w:p>
    <w:p w:rsidR="00363C1B" w:rsidRDefault="00E43B6E">
      <w:bookmarkStart w:id="6" w:name="_GoBack"/>
      <w:bookmarkEnd w:id="6"/>
    </w:p>
    <w:sectPr w:rsidR="00363C1B" w:rsidSect="0001252F">
      <w:pgSz w:w="11906" w:h="16838"/>
      <w:pgMar w:top="1440"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3FF"/>
    <w:rsid w:val="000A1D57"/>
    <w:rsid w:val="002F3ACB"/>
    <w:rsid w:val="003973FF"/>
    <w:rsid w:val="00E43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2715DCB5FE7ACAA064725A9AA52DF46C4B800D275600B8D9082E0697F727EF513D61584AEDEEA6EB009429D933B560EE787BB663D6BDCAv4Y4H" TargetMode="External"/><Relationship Id="rId13" Type="http://schemas.openxmlformats.org/officeDocument/2006/relationships/hyperlink" Target="consultantplus://offline/ref=6B2715DCB5FE7ACAA064725A9AA52DF46C4A8B012E5300B8D9082E0697F727EF513D61584AEDECAEEC009429D933B560EE787BB663D6BDCAv4Y4H" TargetMode="External"/><Relationship Id="rId3" Type="http://schemas.openxmlformats.org/officeDocument/2006/relationships/settings" Target="settings.xml"/><Relationship Id="rId7" Type="http://schemas.openxmlformats.org/officeDocument/2006/relationships/hyperlink" Target="consultantplus://offline/ref=6B2715DCB5FE7ACAA064725A9AA52DF46C43840B2A5100B8D9082E0697F727EF433D39544BEAF2AEEB15C2789Cv6YEH" TargetMode="External"/><Relationship Id="rId12" Type="http://schemas.openxmlformats.org/officeDocument/2006/relationships/hyperlink" Target="consultantplus://offline/ref=6B2715DCB5FE7ACAA064725A9AA52DF46C43800C2E5100B8D9082E0697F727EF513D61584AEDECAEEB009429D933B560EE787BB663D6BDCAv4Y4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B2715DCB5FE7ACAA064725A9AA52DF46F4A850E2E5F00B8D9082E0697F727EF513D61584AEDECABE9009429D933B560EE787BB663D6BDCAv4Y4H" TargetMode="External"/><Relationship Id="rId11" Type="http://schemas.openxmlformats.org/officeDocument/2006/relationships/hyperlink" Target="consultantplus://offline/ref=6B2715DCB5FE7ACAA064725A9AA52DF46F4A84012A5E00B8D9082E0697F727EF433D39544BEAF2AEEB15C2789Cv6YEH"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6B2715DCB5FE7ACAA064725A9AA52DF46E428001285200B8D9082E0697F727EF433D39544BEAF2AEEB15C2789Cv6YEH" TargetMode="External"/><Relationship Id="rId4" Type="http://schemas.openxmlformats.org/officeDocument/2006/relationships/webSettings" Target="webSettings.xml"/><Relationship Id="rId9" Type="http://schemas.openxmlformats.org/officeDocument/2006/relationships/hyperlink" Target="consultantplus://offline/ref=6B2715DCB5FE7ACAA064725A9AA52DF46F4B870F275700B8D9082E0697F727EF513D61584AEFEFA6EB009429D933B560EE787BB663D6BDCAv4Y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4879</Words>
  <Characters>27813</Characters>
  <Application>Microsoft Office Word</Application>
  <DocSecurity>0</DocSecurity>
  <Lines>231</Lines>
  <Paragraphs>65</Paragraphs>
  <ScaleCrop>false</ScaleCrop>
  <Company/>
  <LinksUpToDate>false</LinksUpToDate>
  <CharactersWithSpaces>32627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 Рохлова</dc:creator>
  <cp:keywords/>
  <dc:description/>
  <cp:lastModifiedBy>Елена Леонидовна Рохлова</cp:lastModifiedBy>
  <cp:revision>2</cp:revision>
  <dcterms:created xsi:type="dcterms:W3CDTF">2018-10-17T07:25:00Z</dcterms:created>
  <dcterms:modified xsi:type="dcterms:W3CDTF">2018-10-17T07:25:00Z</dcterms:modified>
</cp:coreProperties>
</file>