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4D" w:rsidRDefault="00B9084D" w:rsidP="00B9084D">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B9084D" w:rsidRDefault="00B9084D" w:rsidP="00B9084D">
      <w:pPr>
        <w:autoSpaceDE w:val="0"/>
        <w:autoSpaceDN w:val="0"/>
        <w:adjustRightInd w:val="0"/>
        <w:spacing w:after="0" w:line="240" w:lineRule="auto"/>
        <w:jc w:val="both"/>
        <w:outlineLvl w:val="0"/>
        <w:rPr>
          <w:rFonts w:ascii="Arial" w:hAnsi="Arial" w:cs="Arial"/>
          <w:sz w:val="20"/>
          <w:szCs w:val="20"/>
        </w:rPr>
      </w:pPr>
    </w:p>
    <w:p w:rsidR="00B9084D" w:rsidRDefault="00B9084D" w:rsidP="00B9084D">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25 августа 2016 г. N 43405</w:t>
      </w:r>
    </w:p>
    <w:p w:rsidR="00B9084D" w:rsidRDefault="00B9084D" w:rsidP="00B9084D">
      <w:pPr>
        <w:pBdr>
          <w:top w:val="single" w:sz="6" w:space="0" w:color="auto"/>
        </w:pBdr>
        <w:autoSpaceDE w:val="0"/>
        <w:autoSpaceDN w:val="0"/>
        <w:adjustRightInd w:val="0"/>
        <w:spacing w:before="100" w:after="100" w:line="240" w:lineRule="auto"/>
        <w:jc w:val="both"/>
        <w:rPr>
          <w:rFonts w:ascii="Arial" w:hAnsi="Arial" w:cs="Arial"/>
          <w:sz w:val="2"/>
          <w:szCs w:val="2"/>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11 августа 2016 г. N 1004</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54.03.01 ДИЗАЙН (УРОВЕНЬ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54.03.01 Дизайн (уровень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22 декабря 2009 г. N 780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072500 Дизайн (квалификация (степень) "бакалавр")" (зарегистрирован Министерством юстиции Российской Федерации 4 февраля 2010 г., регистрационный N 16272);</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63</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Исполняющая обязанности Министра</w:t>
      </w: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Н.В.ТРЕТЬЯК</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 августа 2016 г. N 1004</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НАПРАВЛЕНИЮ ПОДГОТОВКИ</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54.03.01 ДИЗАЙН</w:t>
      </w:r>
    </w:p>
    <w:p w:rsidR="00B9084D" w:rsidRDefault="00B9084D" w:rsidP="00B9084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(УРОВЕНЬ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54.03.01 Дизайн (далее соответственно - программа бакалавриата, направление подготовки).</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организации осуществляется в очной, очно-заочной и заочной формах обучения.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бакалавриата организация вправе применять электронное обучение и дистанционные образовательные технологии.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B9084D" w:rsidRDefault="00B9084D" w:rsidP="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творческую деятельность по формированию эстетически выразительной предметно-пространственной и архитектурной среды;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предметные системы и комплексы;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информационное пространство;</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интегрирующую проектно-художественную, научно-педагогическую деятельность, направленные на создание и совершенствование конкурентоспособной отечественной продукции, развитие экономики, повышение уровня культуры и качества жизни населения; художественное образование.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предметно-пространственная и архитектурная среда, удовлетворяющая утилитарные и эстетические потребности человека (техника и оборудование, транспортные средства, интерьеры, полиграфия, товары народного потребления);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художественное исполнение объектов графического дизайна, дизайна среды, промышленного дизайна, арт-дизайна;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преподавание художественных дисциплин (модулей).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художественная;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художественная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художественного моделирования и эскизирования;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навыками композиционного формообразования и объемного макетирования;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информационными технологиями, различных видов изобразительных искусств и проектной графики;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комплексных дизайн-проектов, изделий и систем, предметных и информационных комплексов на основе методики ведения проектно-художественной деятельности;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инженерного конструирования;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технологиями изготовления объектов дизайна и макетирования;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методами эргономики и антропометрии;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знание основ промышленного производства;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современными информационными технологиями для создания графических образов, проектной документации, компьютерного моделирования;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руководить коллективом в сфере своей профессиональной деятельности;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принимать управленческие решения на основе нормативных правовых актов;</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организовать проектную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методов научных исследований при создании дизайн-проектов;</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самостоятельно разрабатывать образовательную программу практических и лекционных занятий;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методической работы, лекционных и практических занятий.</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анализировать основные этапы и закономерности исторического развития общества для формирования гражданской позиции (ОК-2);</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(ОК-3);</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деятельности (ОК-4);</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команде, толерантно воспринимая социальные, этнические, конфессиональные и культурные различия (ОК-6);</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оказания первой помощи, методы защиты в условиях чрезвычайных ситуаций (ОК-9);</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абстрактному мышлению, анализу, синтезу (ОК-10);</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действовать в нестандартных ситуациях, нести социальную и этическую ответственность за принятые решения (ОК-11).</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владеть рисунком, умением использовать рисунки в практике составления композиции и переработкой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 (ОПК-1);</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основами академической живописи, приемами работы с цветом и цветовыми композициями (ОПК-2);</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обладать начальными профессиональными навыками скульптора, приемами работы в макетировании и моделировании (ОПК-3);</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современную шрифтовую культуру и компьютерные технологии, применяемые в дизайн-проектировании (ОПК-4);</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реализовывать педагогические навыки при преподавании художественных и проектных дисциплин (модулей) (ОПК-5);</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(ОПК-7).</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художественная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 (ПК-1);</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обосновать свои предложения при разработке проектной идеи, основанной на концептуальном, творческом подходе к решению дизайнерской задачи (ПК-2);</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учитывать при разработке художественного замысла особенности материалов с учетом их формообразующих свойств (ПК-3);</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и определять требования к дизайн-проекту и синтезировать набор возможных решений задачи или подходов к выполнению дизайн-проекта (ПК-4);</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конструировать предметы, товары, промышленные образцы, коллекции, комплексы, сооружения, объекты, в том числе для создания доступной среды (ПК-5);</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современные технологии, требуемые при реализации дизайн-проекта на практике (ПК-6);</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выполнять эталонные образцы объекта дизайна или его отдельные элементы в макете, материале (ПК-7);</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конструкцию изделия с учетом технологий изготовления: выполнять технические чертежи, разрабатывать технологическую карту исполнения дизайн-проекта (ПК-8);</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составлять подробную спецификацию требований к дизайн-проекту и готовить полный набор документации по дизайн-проекту, с основными экономическими расчетами для реализации проекта (ПК-9);</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информационные ресурсы: современные информационные технологии и графические редакторы для реализации и создания документации по дизайн-проектам (ПК-10);</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руководить коллективом в сфере своей профессиональной деятельности и принимать управленческие решения на основе нормативных правовых актов (ПК-11);</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методы научных исследований при создании дизайн-проектов и обосновывать новизну собственных концептуальных решений (ПК-12);</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деятельность: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осуществлять планирование образовательного процесса, выполнять методическую работу и самостоятельно проводить лекционные и практические занятия в общеобразовательных организациях, организациях профессионального образования, организациях дополнительного образования (ПК-13).</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w:anchor="Par180"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w:anchor="Par191"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w:anchor="Par198"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Перечень</w:t>
        </w:r>
      </w:hyperlink>
      <w:r>
        <w:rPr>
          <w:rFonts w:ascii="Arial" w:hAnsi="Arial" w:cs="Arial"/>
          <w:sz w:val="20"/>
          <w:szCs w:val="20"/>
        </w:rP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B9084D" w:rsidRDefault="00B9084D" w:rsidP="00B9084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2"/>
        <w:gridCol w:w="4680"/>
        <w:gridCol w:w="1963"/>
        <w:gridCol w:w="1964"/>
      </w:tblGrid>
      <w:tr w:rsidR="00B9084D">
        <w:tc>
          <w:tcPr>
            <w:tcW w:w="5822" w:type="dxa"/>
            <w:gridSpan w:val="2"/>
            <w:vMerge w:val="restart"/>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3927" w:type="dxa"/>
            <w:gridSpan w:val="2"/>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B9084D">
        <w:tc>
          <w:tcPr>
            <w:tcW w:w="5822" w:type="dxa"/>
            <w:gridSpan w:val="2"/>
            <w:vMerge/>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both"/>
              <w:rPr>
                <w:rFonts w:ascii="Arial" w:hAnsi="Arial" w:cs="Arial"/>
                <w:sz w:val="20"/>
                <w:szCs w:val="20"/>
              </w:rPr>
            </w:pP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B9084D">
        <w:tc>
          <w:tcPr>
            <w:tcW w:w="1142"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bookmarkStart w:id="1" w:name="Par180"/>
            <w:bookmarkEnd w:id="1"/>
            <w:r>
              <w:rPr>
                <w:rFonts w:ascii="Arial" w:hAnsi="Arial" w:cs="Arial"/>
                <w:sz w:val="20"/>
                <w:szCs w:val="20"/>
              </w:rPr>
              <w:t>Блок 1</w:t>
            </w: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201 - 204</w:t>
            </w:r>
          </w:p>
        </w:tc>
      </w:tr>
      <w:tr w:rsidR="00B9084D">
        <w:tc>
          <w:tcPr>
            <w:tcW w:w="1142" w:type="dxa"/>
            <w:vMerge w:val="restart"/>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bookmarkStart w:id="2" w:name="Par185"/>
            <w:bookmarkEnd w:id="2"/>
            <w:r>
              <w:rPr>
                <w:rFonts w:ascii="Arial" w:hAnsi="Arial" w:cs="Arial"/>
                <w:sz w:val="20"/>
                <w:szCs w:val="20"/>
              </w:rPr>
              <w:t>Базовая часть</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90 - 115</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78 - 102</w:t>
            </w:r>
          </w:p>
        </w:tc>
      </w:tr>
      <w:tr w:rsidR="00B9084D">
        <w:tc>
          <w:tcPr>
            <w:tcW w:w="1142" w:type="dxa"/>
            <w:vMerge/>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both"/>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bookmarkStart w:id="3" w:name="Par188"/>
            <w:bookmarkEnd w:id="3"/>
            <w:r>
              <w:rPr>
                <w:rFonts w:ascii="Arial" w:hAnsi="Arial" w:cs="Arial"/>
                <w:sz w:val="20"/>
                <w:szCs w:val="20"/>
              </w:rPr>
              <w:t>Вариативная часть</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98 - 123</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102 - 123</w:t>
            </w:r>
          </w:p>
        </w:tc>
      </w:tr>
      <w:tr w:rsidR="00B9084D">
        <w:tc>
          <w:tcPr>
            <w:tcW w:w="1142" w:type="dxa"/>
            <w:vMerge w:val="restart"/>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bookmarkStart w:id="4" w:name="Par191"/>
            <w:bookmarkEnd w:id="4"/>
            <w:r>
              <w:rPr>
                <w:rFonts w:ascii="Arial" w:hAnsi="Arial" w:cs="Arial"/>
                <w:sz w:val="20"/>
                <w:szCs w:val="20"/>
              </w:rPr>
              <w:t>Блок 2</w:t>
            </w: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18 - 21</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27 - 33</w:t>
            </w:r>
          </w:p>
        </w:tc>
      </w:tr>
      <w:tr w:rsidR="00B9084D">
        <w:tc>
          <w:tcPr>
            <w:tcW w:w="1142" w:type="dxa"/>
            <w:vMerge/>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both"/>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18 - 21</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27 - 33</w:t>
            </w:r>
          </w:p>
        </w:tc>
      </w:tr>
      <w:tr w:rsidR="00B9084D">
        <w:tc>
          <w:tcPr>
            <w:tcW w:w="1142" w:type="dxa"/>
            <w:vMerge w:val="restart"/>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bookmarkStart w:id="5" w:name="Par198"/>
            <w:bookmarkEnd w:id="5"/>
            <w:r>
              <w:rPr>
                <w:rFonts w:ascii="Arial" w:hAnsi="Arial" w:cs="Arial"/>
                <w:sz w:val="20"/>
                <w:szCs w:val="20"/>
              </w:rPr>
              <w:t>Блок 3</w:t>
            </w: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B9084D">
        <w:tc>
          <w:tcPr>
            <w:tcW w:w="1142" w:type="dxa"/>
            <w:vMerge/>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both"/>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B9084D">
        <w:tc>
          <w:tcPr>
            <w:tcW w:w="5822" w:type="dxa"/>
            <w:gridSpan w:val="2"/>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1963"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964" w:type="dxa"/>
            <w:tcBorders>
              <w:top w:val="single" w:sz="4" w:space="0" w:color="auto"/>
              <w:left w:val="single" w:sz="4" w:space="0" w:color="auto"/>
              <w:bottom w:val="single" w:sz="4" w:space="0" w:color="auto"/>
              <w:right w:val="single" w:sz="4" w:space="0" w:color="auto"/>
            </w:tcBorders>
          </w:tcPr>
          <w:p w:rsidR="00B9084D" w:rsidRDefault="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w:t>
      </w:r>
      <w:r>
        <w:rPr>
          <w:rFonts w:ascii="Arial" w:hAnsi="Arial" w:cs="Arial"/>
          <w:sz w:val="20"/>
          <w:szCs w:val="20"/>
        </w:rPr>
        <w:lastRenderedPageBreak/>
        <w:t>учетом соответствующей (соответствующих) примерной (примерных) основной (основных) образовательной (образовательных) программы (программ).</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w:t>
      </w:r>
      <w:hyperlink w:anchor="Par185" w:history="1">
        <w:r>
          <w:rPr>
            <w:rFonts w:ascii="Arial" w:hAnsi="Arial" w:cs="Arial"/>
            <w:color w:val="0000FF"/>
            <w:sz w:val="20"/>
            <w:szCs w:val="20"/>
          </w:rPr>
          <w:t>базовой части</w:t>
        </w:r>
      </w:hyperlink>
      <w:r>
        <w:rPr>
          <w:rFonts w:ascii="Arial" w:hAnsi="Arial" w:cs="Arial"/>
          <w:sz w:val="20"/>
          <w:szCs w:val="20"/>
        </w:rP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hyperlink w:anchor="Par185" w:history="1">
        <w:r>
          <w:rPr>
            <w:rFonts w:ascii="Arial" w:hAnsi="Arial" w:cs="Arial"/>
            <w:color w:val="0000FF"/>
            <w:sz w:val="20"/>
            <w:szCs w:val="20"/>
          </w:rPr>
          <w:t>базовой части</w:t>
        </w:r>
      </w:hyperlink>
      <w:r>
        <w:rPr>
          <w:rFonts w:ascii="Arial" w:hAnsi="Arial" w:cs="Arial"/>
          <w:sz w:val="20"/>
          <w:szCs w:val="20"/>
        </w:rPr>
        <w:t xml:space="preserve"> Блока 1 "Дисциплины (модули)" программы бакалавриата в объеме не менее 72 академических часов (2 з.е.) в очной форме обучения;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191"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творческая практика.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творческая практика.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Учебная и (или) производственная практики могут проводиться в структурных подразделениях организации.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198"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Реализация части (частей) образовательной программы, направленная (направленных) на подготовку к творческой деятельности, а также государственной итоговой аттестации, не допускается с применением электронного обучения, дистанционных образовательных технологий.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ar188" w:history="1">
        <w:r>
          <w:rPr>
            <w:rFonts w:ascii="Arial" w:hAnsi="Arial" w:cs="Arial"/>
            <w:color w:val="0000FF"/>
            <w:sz w:val="20"/>
            <w:szCs w:val="20"/>
          </w:rPr>
          <w:t>вариативной части</w:t>
        </w:r>
      </w:hyperlink>
      <w:r>
        <w:rPr>
          <w:rFonts w:ascii="Arial" w:hAnsi="Arial" w:cs="Arial"/>
          <w:sz w:val="20"/>
          <w:szCs w:val="20"/>
        </w:rPr>
        <w:t xml:space="preserve"> Блока 1 "Дисциплины (модули)".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Количество часов, отведенных на занятия лекционного типа, в целом по </w:t>
      </w:r>
      <w:hyperlink w:anchor="Par180"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B9084D" w:rsidRDefault="00B9084D" w:rsidP="00B9084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w:t>
      </w:r>
      <w:r>
        <w:rPr>
          <w:rFonts w:ascii="Arial" w:hAnsi="Arial" w:cs="Arial"/>
          <w:sz w:val="20"/>
          <w:szCs w:val="20"/>
        </w:rPr>
        <w:lastRenderedPageBreak/>
        <w:t>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К преподавателям с учеными степенями и/или учеными званиями приравниваются лица без ученых степеней и званий, имеющие государственные почетные звания, дипломы лауреатов и степеней международных и всероссийских конкурсов, патенты на промышленные образцы, являющиеся членами Союза художников России, Союза дизайнеров Российской Федерации, Союза архитекторов, а также других российских и международных творческих союзов соответствующего профиля, лауреаты государственных премий в соответствующей профессиональной сфере.</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7.2.5.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B9084D" w:rsidRDefault="00B9084D" w:rsidP="00B9084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w:t>
      </w:r>
      <w:r>
        <w:rPr>
          <w:rFonts w:ascii="Arial" w:hAnsi="Arial" w:cs="Arial"/>
          <w:sz w:val="20"/>
          <w:szCs w:val="20"/>
        </w:rPr>
        <w:lastRenderedPageBreak/>
        <w:t>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autoSpaceDE w:val="0"/>
        <w:autoSpaceDN w:val="0"/>
        <w:adjustRightInd w:val="0"/>
        <w:spacing w:after="0" w:line="240" w:lineRule="auto"/>
        <w:jc w:val="both"/>
        <w:rPr>
          <w:rFonts w:ascii="Arial" w:hAnsi="Arial" w:cs="Arial"/>
          <w:sz w:val="20"/>
          <w:szCs w:val="20"/>
        </w:rPr>
      </w:pPr>
    </w:p>
    <w:p w:rsidR="00B9084D" w:rsidRDefault="00B9084D" w:rsidP="00B9084D">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B9084D">
      <w:bookmarkStart w:id="6" w:name="_GoBack"/>
      <w:bookmarkEnd w:id="6"/>
    </w:p>
    <w:sectPr w:rsidR="00363C1B" w:rsidSect="00E75399">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8B"/>
    <w:rsid w:val="000A1D57"/>
    <w:rsid w:val="002F3ACB"/>
    <w:rsid w:val="00B9084D"/>
    <w:rsid w:val="00D5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8A6059D907944F3752F5609BADC977FC01431C224469AA95EA77088C4E0452E6FA78D18E343D48A115190DD353B4B339B339A2282936EmEc5H" TargetMode="External"/><Relationship Id="rId13" Type="http://schemas.openxmlformats.org/officeDocument/2006/relationships/hyperlink" Target="consultantplus://offline/ref=13F8A6059D907944F3752F5609BADC977FC11439C221469AA95EA77088C4E0452E6FA78D18E340D08B115190DD353B4B339B339A2282936EmEc5H" TargetMode="External"/><Relationship Id="rId3" Type="http://schemas.openxmlformats.org/officeDocument/2006/relationships/settings" Target="settings.xml"/><Relationship Id="rId7" Type="http://schemas.openxmlformats.org/officeDocument/2006/relationships/hyperlink" Target="consultantplus://offline/ref=13F8A6059D907944F3752F5609BADC977FC81B34CB23469AA95EA77088C4E0453C6FFF8119E45ED08C0407C198m6c8H" TargetMode="External"/><Relationship Id="rId12" Type="http://schemas.openxmlformats.org/officeDocument/2006/relationships/hyperlink" Target="consultantplus://offline/ref=13F8A6059D907944F3752F5609BADC977FC81F34C223469AA95EA77088C4E0452E6FA78D18E340D185115190DD353B4B339B339A2282936EmEc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F8A6059D907944F3752F5609BADC977CC11A36C22D469AA95EA77088C4E0452E6FA78D18E340D58E115190DD353B4B339B339A2282936EmEc5H" TargetMode="External"/><Relationship Id="rId11" Type="http://schemas.openxmlformats.org/officeDocument/2006/relationships/hyperlink" Target="consultantplus://offline/ref=13F8A6059D907944F3752F5609BADC977CC11B39C62C469AA95EA77088C4E0453C6FFF8119E45ED08C0407C198m6c8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13F8A6059D907944F3752F5609BADC977DC91F39C420469AA95EA77088C4E0453C6FFF8119E45ED08C0407C198m6c8H" TargetMode="External"/><Relationship Id="rId4" Type="http://schemas.openxmlformats.org/officeDocument/2006/relationships/webSettings" Target="webSettings.xml"/><Relationship Id="rId9" Type="http://schemas.openxmlformats.org/officeDocument/2006/relationships/hyperlink" Target="consultantplus://offline/ref=13F8A6059D907944F3752F5609BADC977CC01837CB25469AA95EA77088C4E0452E6FA78D18E241D988115190DD353B4B339B339A2282936EmEc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5239</Words>
  <Characters>29867</Characters>
  <Application>Microsoft Office Word</Application>
  <DocSecurity>0</DocSecurity>
  <Lines>248</Lines>
  <Paragraphs>70</Paragraphs>
  <ScaleCrop>false</ScaleCrop>
  <Company/>
  <LinksUpToDate>false</LinksUpToDate>
  <CharactersWithSpaces>35036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2018-10-17T07:28:00Z</dcterms:created>
  <dcterms:modified xsi:type="dcterms:W3CDTF">2018-10-17T07:28:00Z</dcterms:modified>
</cp:coreProperties>
</file>