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CB" w:rsidRDefault="007310CB" w:rsidP="007310CB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22 апреля 2015 г. N 36995</w:t>
      </w:r>
    </w:p>
    <w:p w:rsidR="007310CB" w:rsidRDefault="007310CB" w:rsidP="007310C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ОБРАЗОВАНИЯ И НАУКИ РОССИЙСКОЙ ФЕДЕРАЦИИ</w:t>
      </w:r>
    </w:p>
    <w:p w:rsidR="007310CB" w:rsidRDefault="007310CB" w:rsidP="007310C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7310CB" w:rsidRDefault="007310CB" w:rsidP="007310C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7310CB" w:rsidRDefault="007310CB" w:rsidP="007310C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30 марта 2015 г. N 321</w:t>
      </w:r>
    </w:p>
    <w:p w:rsidR="007310CB" w:rsidRDefault="007310CB" w:rsidP="007310C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7310CB" w:rsidRDefault="007310CB" w:rsidP="007310C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</w:t>
      </w:r>
    </w:p>
    <w:p w:rsidR="007310CB" w:rsidRDefault="007310CB" w:rsidP="007310C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ФЕДЕРАЛЬНОГО ГОСУДАРСТВЕННОГО ОБРАЗОВАТЕЛЬНОГО СТАНДАРТА</w:t>
      </w:r>
    </w:p>
    <w:p w:rsidR="007310CB" w:rsidRDefault="007310CB" w:rsidP="007310C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ПО НАПРАВЛЕНИЮ ПОДГОТОВКИ 38.04.01</w:t>
      </w:r>
    </w:p>
    <w:p w:rsidR="007310CB" w:rsidRDefault="007310CB" w:rsidP="007310C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ЭКОНОМИКА (УРОВЕНЬ МАГИСТРАТУРЫ)</w:t>
      </w: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5"/>
      </w:tblGrid>
      <w:tr w:rsidR="007310CB">
        <w:trPr>
          <w:jc w:val="center"/>
        </w:trPr>
        <w:tc>
          <w:tcPr>
            <w:tcW w:w="1014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310CB" w:rsidRDefault="00731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310CB" w:rsidRDefault="00731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13.07.2017 N 653)</w:t>
            </w:r>
          </w:p>
        </w:tc>
      </w:tr>
    </w:tbl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N 27, ст. 3776), 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пунктом 17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федеральный государственный образовательный </w:t>
      </w:r>
      <w:hyperlink w:anchor="Par36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по направлению подготовки 38.04.01 Экономика (уровень магистратуры).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силу: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образования и науки Российской Федерации от 20 мая 2010 г. N 543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080100 Экономика (квалификация (степень) "магистр")" (зарегистрирован Министерством юстиции Российской Федерации 14 июля 2010 г., регистрационный N 17819);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пункт 71</w:t>
        </w:r>
      </w:hyperlink>
      <w:r>
        <w:rPr>
          <w:rFonts w:ascii="Arial" w:hAnsi="Arial" w:cs="Arial"/>
          <w:sz w:val="20"/>
          <w:szCs w:val="20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Д.В.ЛИВАНОВ</w:t>
      </w: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образования</w:t>
      </w: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науки Российской Федерации</w:t>
      </w: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30 марта 2015 г. N 321</w:t>
      </w: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6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ФЕДЕРАЛЬНЫЙ ГОСУДАРСТВЕННЫЙ ОБРАЗОВАТЕЛЬНЫЙ СТАНДАРТ</w:t>
      </w:r>
    </w:p>
    <w:p w:rsidR="007310CB" w:rsidRDefault="007310CB" w:rsidP="007310C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lastRenderedPageBreak/>
        <w:t>ВЫСШЕГО ОБРАЗОВАНИЯ</w:t>
      </w:r>
    </w:p>
    <w:p w:rsidR="007310CB" w:rsidRDefault="007310CB" w:rsidP="007310C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7310CB" w:rsidRDefault="007310CB" w:rsidP="007310C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УРОВЕНЬ ВЫСШЕГО ОБРАЗОВАНИЯ</w:t>
      </w:r>
    </w:p>
    <w:p w:rsidR="007310CB" w:rsidRDefault="007310CB" w:rsidP="007310C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МАГИСТРАТУРА</w:t>
      </w:r>
    </w:p>
    <w:p w:rsidR="007310CB" w:rsidRDefault="007310CB" w:rsidP="007310C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7310CB" w:rsidRDefault="007310CB" w:rsidP="007310C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НАПРАВЛЕНИЕ ПОДГОТОВКИ</w:t>
      </w:r>
    </w:p>
    <w:p w:rsidR="007310CB" w:rsidRDefault="007310CB" w:rsidP="007310C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38.04.01 ЭКОНОМИКА</w:t>
      </w: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5"/>
      </w:tblGrid>
      <w:tr w:rsidR="007310CB">
        <w:trPr>
          <w:jc w:val="center"/>
        </w:trPr>
        <w:tc>
          <w:tcPr>
            <w:tcW w:w="1014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310CB" w:rsidRDefault="00731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310CB" w:rsidRDefault="00731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13.07.2017 N 653)</w:t>
            </w:r>
          </w:p>
        </w:tc>
      </w:tr>
    </w:tbl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I. ОБЛАСТЬ ПРИМЕНЕНИЯ</w:t>
      </w: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38.04.01 Экономика (далее соответственно - программа магистратуры, направление подготовки).</w:t>
      </w: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II. ИСПОЛЬЗУЕМЫЕ СОКРАЩЕНИЯ</w:t>
      </w: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настоящем федеральном государственном образовательном стандарте используются следующие сокращения: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ОК</w:t>
      </w:r>
      <w:proofErr w:type="gramEnd"/>
      <w:r>
        <w:rPr>
          <w:rFonts w:ascii="Arial" w:hAnsi="Arial" w:cs="Arial"/>
          <w:sz w:val="20"/>
          <w:szCs w:val="20"/>
        </w:rPr>
        <w:t xml:space="preserve"> - общекультурные компетенции;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ОПК - общепрофессиональные компетенции;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ПК - профессиональные компетенции;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 xml:space="preserve"> - федеральный государственный образовательный стандарт высшего образования;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сетевая форма - сетевая форма реализации образовательных программ.</w:t>
      </w: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III. ХАРАКТЕРИСТИКА НАПРАВЛЕНИЯ ПОДГОТОВКИ</w:t>
      </w: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</w:t>
      </w:r>
      <w:proofErr w:type="gramStart"/>
      <w:r>
        <w:rPr>
          <w:rFonts w:ascii="Arial" w:hAnsi="Arial" w:cs="Arial"/>
          <w:sz w:val="20"/>
          <w:szCs w:val="20"/>
        </w:rPr>
        <w:t>Обучение по программе магистратуры в организации осуществляется в очной, очно-заочной и заочной формах обучения.</w:t>
      </w:r>
      <w:proofErr w:type="gramEnd"/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магистратуры составляет 120 зачетных единиц (далее -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Срок получения образования по программе магистратуры: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реализуемый за один учебный год, составляет 60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очно-заочной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обучения;</w:t>
      </w:r>
      <w:proofErr w:type="gramEnd"/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</w:t>
      </w:r>
      <w:proofErr w:type="gramStart"/>
      <w:r>
        <w:rPr>
          <w:rFonts w:ascii="Arial" w:hAnsi="Arial" w:cs="Arial"/>
          <w:sz w:val="20"/>
          <w:szCs w:val="20"/>
        </w:rPr>
        <w:t>обучении</w:t>
      </w:r>
      <w:proofErr w:type="gramEnd"/>
      <w:r>
        <w:rPr>
          <w:rFonts w:ascii="Arial" w:hAnsi="Arial" w:cs="Arial"/>
          <w:sz w:val="20"/>
          <w:szCs w:val="20"/>
        </w:rPr>
        <w:t xml:space="preserve">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обучения. При обучении по индивидуальному учебному плану лиц с ограниченными возможностями здоровья может быть </w:t>
      </w:r>
      <w:proofErr w:type="gramStart"/>
      <w:r>
        <w:rPr>
          <w:rFonts w:ascii="Arial" w:hAnsi="Arial" w:cs="Arial"/>
          <w:sz w:val="20"/>
          <w:szCs w:val="20"/>
        </w:rPr>
        <w:lastRenderedPageBreak/>
        <w:t>увеличен</w:t>
      </w:r>
      <w:proofErr w:type="gramEnd"/>
      <w:r>
        <w:rPr>
          <w:rFonts w:ascii="Arial" w:hAnsi="Arial" w:cs="Arial"/>
          <w:sz w:val="20"/>
          <w:szCs w:val="20"/>
        </w:rPr>
        <w:t xml:space="preserve"> по их желанию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>
        <w:rPr>
          <w:rFonts w:ascii="Arial" w:hAnsi="Arial" w:cs="Arial"/>
          <w:sz w:val="20"/>
          <w:szCs w:val="20"/>
        </w:rPr>
        <w:t>за один учебный год при обучении по индивидуальному учебному плану вне зависимости от формы</w:t>
      </w:r>
      <w:proofErr w:type="gramEnd"/>
      <w:r>
        <w:rPr>
          <w:rFonts w:ascii="Arial" w:hAnsi="Arial" w:cs="Arial"/>
          <w:sz w:val="20"/>
          <w:szCs w:val="20"/>
        </w:rPr>
        <w:t xml:space="preserve"> обучения не может составлять более 75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Конкретный срок получения образования и объем программы магистратуры, реализуемый за один учебный год, в очно-заочной или заочной формах обучения, а также по индивидуальному учебному плану определяются организацией самостоятельно в пределах сроков, установленных настоящим пунктом.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Реализация программы магистратуры возможна с использованием сетевой формы.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IV. ХАРАКТЕРИСТИКА ПРОФЕССИОНАЛЬНОЙ ДЕЯТЕЛЬНОСТИ</w:t>
      </w:r>
    </w:p>
    <w:p w:rsidR="007310CB" w:rsidRDefault="007310CB" w:rsidP="007310C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ВЫПУСКНИКОВ, ОСВОИВШИХ ПРОГРАММУ МАГИСТРАТУРЫ</w:t>
      </w: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Область профессиональной деятельности выпускников, освоивших программу магистратуры, включает: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экономические, финансовые, маркетинговые и аналитические службы фирм различных отраслей и форм собственности;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органы государственной и муниципальной власти;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академические и ведомственные научно-исследовательские организации;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профессиональные образовательные организации, образовательные организации высшего образования, дополнительного профессионального образования.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Объектами профессиональной деятельности выпускников, освоивших программу магистратуры, являются: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поведение хозяйствующих агентов, их затраты и результаты,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функционирующие рынки,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финансовые и информационные потоки,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производственные и научно-исследовательские процессы.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Виды профессиональной деятельности, к которым готовятся выпускники, освоившие программу магистратуры: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проектно-экономическая;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аналитическая;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организационно-управленческая;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педагогическая.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научно-исследовательских и материально-технических ресурсов организации.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должен быть готов решать следующие профессиональные задачи: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деятельность: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разработка рабочих планов и программ проведения научных исследований и разработок, подготовка заданий для групп и отдельных исполнителей;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разработка инструментария проводимых исследований, анализ их результатов;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данных для составления обзоров, отчетов и научных публикаций;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сбор, обработка, анализ и систематизация информации по теме исследования, выбор методов и средств решения задач исследования;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организация и проведение научных исследований, в том числе статистических обследований и опросов;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разработка теоретических и эконометрических моделей исследуемых процессов, явлений и объектов, относящихся к сфере профессиональной деятельности, оценка и интерпретация полученных результатов;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проектно-экономическая деятельность: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заданий и разработка проектных решений с учетом фактора неопределенности;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заданий и разработка методических и нормативных документов, а также предложений и мероприятий по реализации разработанных проектов и программ;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заданий и разработка системы социально-экономических показателей хозяйствующих субъектов;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составление экономических разделов планов предприятий и организаций различных форм собственности;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разработка стратегии поведения экономических агентов на различных рынках;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аналитическая деятельность: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разработка и обоснование социально-экономических показателей, характеризующих деятельность хозяйствующих субъектов, и методик их расчета;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поиск, анализ и оценка источников информации для проведения экономических расчетов;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оценки эффективности проектов с учетом фактора неопределенности;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анализ существующих форм организации управления; разработка и обоснование предложений по их совершенствованию;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прогнозирование динамики основных социально-экономических показателей деятельности предприятия, отрасли, региона и экономики в целом;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организационно-управленческая деятельность: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организация творческих коллективов для решения экономических и социальных задач и руководство ими;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разработка стратегий развития и функционирования предприятий, организаций и их отдельных подразделений;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руководство экономическими службами и подразделениями предприятий и организаций разных форм собственности, органов государственной и муниципальной власти;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педагогическая деятельность: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преподавание экономических дисциплин в образовательных организациях высшего образования, дополнительного профессионального образования, профессиональных образовательных организациях;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разработка учебно-методических материалов.</w:t>
      </w: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V. ТРЕБОВАНИЯ К РЕЗУЛЬТАТАМ ОСВОЕНИЯ ПРОГРАММЫ МАГИСТРАТУРЫ</w:t>
      </w: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В результате освоения программы магистратуры у выпускника должны быть сформированы общекультурные, общепрофессиональные и профессиональные компетенции.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Выпускник, освоивший программу магистратуры, должен обладать следующими общекультурными компетенциями: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к абстрактному мышлению, анализу, синтезу (ОК-1);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готовностью к саморазвитию, самореализации, использованию творческого потенциала (ОК-3).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 Выпускник, освоивший программу магистратуры, должен обладать общепрофессиональными компетенциями: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готовностью к коммуникации в устной и письменной </w:t>
      </w:r>
      <w:proofErr w:type="gramStart"/>
      <w:r>
        <w:rPr>
          <w:rFonts w:ascii="Arial" w:hAnsi="Arial" w:cs="Arial"/>
          <w:sz w:val="20"/>
          <w:szCs w:val="20"/>
        </w:rPr>
        <w:t>формах</w:t>
      </w:r>
      <w:proofErr w:type="gramEnd"/>
      <w:r>
        <w:rPr>
          <w:rFonts w:ascii="Arial" w:hAnsi="Arial" w:cs="Arial"/>
          <w:sz w:val="20"/>
          <w:szCs w:val="20"/>
        </w:rPr>
        <w:t xml:space="preserve"> на русском и иностранном языках для решения задач профессиональной деятельности (ОПК-1);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принимать организационно-управленческие решения (ОПК-3).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 </w:t>
      </w:r>
      <w:proofErr w:type="gramStart"/>
      <w:r>
        <w:rPr>
          <w:rFonts w:ascii="Arial" w:hAnsi="Arial" w:cs="Arial"/>
          <w:sz w:val="20"/>
          <w:szCs w:val="20"/>
        </w:rP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деятельность: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обосновывать актуальность, теоретическую и практическую значимость избранной темы научного исследования (ПК-2);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проводить самостоятельные исследования в соответствии с разработанной программой (ПК-3);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представлять результаты проведенного исследования научному сообществу в виде статьи или доклада (ПК-4);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проектно-экономическая деятельность: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способностью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 (ПК-5);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оценивать эффективность проектов с учетом фактора неопределенности (ПК-6);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разрабатывать стратегии поведения экономических агентов на различных рынках (ПК-7);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аналитическая деятельность: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готовить аналитические материалы для оценки мероприятий в области экономической политики и принятия стратегических решений на микр</w:t>
      </w:r>
      <w:proofErr w:type="gramStart"/>
      <w:r>
        <w:rPr>
          <w:rFonts w:ascii="Arial" w:hAnsi="Arial" w:cs="Arial"/>
          <w:sz w:val="20"/>
          <w:szCs w:val="20"/>
        </w:rPr>
        <w:t>о-</w:t>
      </w:r>
      <w:proofErr w:type="gramEnd"/>
      <w:r>
        <w:rPr>
          <w:rFonts w:ascii="Arial" w:hAnsi="Arial" w:cs="Arial"/>
          <w:sz w:val="20"/>
          <w:szCs w:val="20"/>
        </w:rPr>
        <w:t xml:space="preserve"> и макроуровне (ПК-8);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анализировать и использовать различные источники информации для проведения экономических расчетов (ПК-9);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составлять прогноз основных социально-экономических показателей деятельности предприятия, отрасли, региона и экономики в целом (ПК-10);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организационно-управленческая деятельность: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 (ПК-11);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разрабатывать варианты управленческих решений и обосновывать их выбор на основе критериев социально-экономической эффективности (ПК-12);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педагогическая деятельность: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применять современные методы и методики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 (ПК-13);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разрабатывать учебные планы, программы и соответствующее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 (ПК-14).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 При разработке программы магистратуры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5.7. При разработке программы магистратуры требования к результатам </w:t>
      </w:r>
      <w:proofErr w:type="gramStart"/>
      <w:r>
        <w:rPr>
          <w:rFonts w:ascii="Arial" w:hAnsi="Arial" w:cs="Arial"/>
          <w:sz w:val="20"/>
          <w:szCs w:val="20"/>
        </w:rPr>
        <w:t>обучения по</w:t>
      </w:r>
      <w:proofErr w:type="gramEnd"/>
      <w:r>
        <w:rPr>
          <w:rFonts w:ascii="Arial" w:hAnsi="Arial" w:cs="Arial"/>
          <w:sz w:val="20"/>
          <w:szCs w:val="20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VI. ТРЕБОВАНИЯ К СТРУКТУРЕ ПРОГРАММЫ МАГИСТРАТУРЫ</w:t>
      </w: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Программа магистратуры состоит из следующих блоков: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Блок 2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&lt;1&gt;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Подпункт 5.2.1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Структура программы магистратуры</w:t>
      </w: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</w:t>
      </w: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720"/>
        <w:gridCol w:w="2040"/>
      </w:tblGrid>
      <w:tr w:rsidR="007310CB"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CB" w:rsidRDefault="00731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Структура программы магистратуры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CB" w:rsidRDefault="00731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магистратуры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з.е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310CB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CB" w:rsidRDefault="00731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 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CB" w:rsidRDefault="00731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Дисциплины (модули)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CB" w:rsidRDefault="00731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57 - 63</w:t>
            </w:r>
          </w:p>
        </w:tc>
      </w:tr>
      <w:tr w:rsidR="007310CB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CB" w:rsidRDefault="00731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CB" w:rsidRDefault="00731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Базовая часть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CB" w:rsidRDefault="00731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9 - 15</w:t>
            </w:r>
          </w:p>
        </w:tc>
      </w:tr>
      <w:tr w:rsidR="007310CB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CB" w:rsidRDefault="00731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CB" w:rsidRDefault="00731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Вариативная часть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CB" w:rsidRDefault="00731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7310CB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CB" w:rsidRDefault="00731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 2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CB" w:rsidRDefault="00731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Практики, в том числе научно-исследовательская работа (НИР)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CB" w:rsidRDefault="00731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48 - 57</w:t>
            </w:r>
          </w:p>
        </w:tc>
      </w:tr>
      <w:tr w:rsidR="007310CB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CB" w:rsidRDefault="00731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CB" w:rsidRDefault="00731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Вариативная часть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CB" w:rsidRDefault="00731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48 - 57</w:t>
            </w:r>
          </w:p>
        </w:tc>
      </w:tr>
      <w:tr w:rsidR="007310C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CB" w:rsidRDefault="00731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 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CB" w:rsidRDefault="00731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CB" w:rsidRDefault="00731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</w:tr>
      <w:tr w:rsidR="007310CB"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CB" w:rsidRDefault="00731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программы магистратуры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CB" w:rsidRDefault="00731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</w:tbl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6.3. </w:t>
      </w:r>
      <w:proofErr w:type="gramStart"/>
      <w:r>
        <w:rPr>
          <w:rFonts w:ascii="Arial" w:hAnsi="Arial" w:cs="Arial"/>
          <w:sz w:val="20"/>
          <w:szCs w:val="20"/>
        </w:rP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6.4. Дисциплины (модули), относящиеся к вариативной части программы магистратуры, практики (в том числе НИР) определяют направленность (профиль) программы. Набор дисциплин (модулей) и практик (в том числе НИР), относящихся к вариативной части Блока 1 "Дисциплины (модули)" и Блока 2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6.5. В Блок 2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учебной практики: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практика по получению первичных профессиональных умений и навыков.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Типы производственной практики: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практика по получению профессиональных умений и опыта профессиональной деятельности (в том числе технологическая практика, педагогическая практика);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НИР.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Способы проведения учебной и производственной практик: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выездная;</w:t>
      </w: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13.07.2017 N 653)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стационарная.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дополнительно </w:t>
      </w: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установленным настоящим ФГОС ВО.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Учебная и (или) производственная практики могут проводиться в структурных подразделениях организации.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6.6. В Блок 3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6.7.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вариативной части Блока 1 "Дисциплины (модули)".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6.8. Количество часов, отведенных на занятия лекционного типа, в целом по Блоку 1 "Дисциплины (модули)" должно составлять не более 40 процентов от общего количества часов аудиторных занятий, отведенных на реализацию этого Блока.</w:t>
      </w: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VII. ТРЕБОВАНИЯ К УСЛОВИЯМ РЕАЛИЗАЦИИ</w:t>
      </w:r>
    </w:p>
    <w:p w:rsidR="007310CB" w:rsidRDefault="007310CB" w:rsidP="007310C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ПРОГРАММЫ МАГИСТРАТУРЫ</w:t>
      </w: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7.1. Общесистемные требования к реализации программы магистратуры.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Электронная информационно-образовательная среда организации должна обеспечивать: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--------------------------------</w:t>
      </w:r>
      <w:proofErr w:type="gramEnd"/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&lt;1&gt; Федеральный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N 23, ст. 2870; N 27, ст. 3479; N 52, ст. 6961, ст. 6963; 2014, N 19, ст. 2302; N 30, ст. 4223, ст. 4243), Федеральный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52, ст. 6439; 2010, N 27, ст. 3407; N 31, ст. 4173, ст. 4196; N 49, ст. 6409; 2011, N 23, ст. 3263; N 31, ст. 4701; 2013, N 14, ст. 1651; N 30, ст. 4038; N 51, ст. 6683; 2014, N 23, ст. 2927; N 30, ст. 4217, ст. 4243).</w:t>
      </w:r>
      <w:proofErr w:type="gramEnd"/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7.1.5. </w:t>
      </w:r>
      <w:proofErr w:type="gramStart"/>
      <w:r>
        <w:rPr>
          <w:rFonts w:ascii="Arial" w:hAnsi="Arial" w:cs="Arial"/>
          <w:sz w:val="20"/>
          <w:szCs w:val="20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справочнике</w:t>
        </w:r>
      </w:hyperlink>
      <w:r>
        <w:rPr>
          <w:rFonts w:ascii="Arial" w:hAnsi="Arial" w:cs="Arial"/>
          <w:sz w:val="20"/>
          <w:szCs w:val="20"/>
        </w:rP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rPr>
          <w:rFonts w:ascii="Arial" w:hAnsi="Arial" w:cs="Arial"/>
          <w:sz w:val="20"/>
          <w:szCs w:val="20"/>
        </w:rPr>
        <w:t xml:space="preserve"> 20237), и профессиональным стандартам (при наличии).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7.1.7. </w:t>
      </w:r>
      <w:proofErr w:type="gramStart"/>
      <w:r>
        <w:rPr>
          <w:rFonts w:ascii="Arial" w:hAnsi="Arial" w:cs="Arial"/>
          <w:sz w:val="20"/>
          <w:szCs w:val="20"/>
        </w:rPr>
        <w:t xml:space="preserve"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</w:t>
      </w:r>
      <w:proofErr w:type="spellStart"/>
      <w:r>
        <w:rPr>
          <w:rFonts w:ascii="Arial" w:hAnsi="Arial" w:cs="Arial"/>
          <w:sz w:val="20"/>
          <w:szCs w:val="20"/>
        </w:rPr>
        <w:t>Web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Science</w:t>
      </w:r>
      <w:proofErr w:type="spellEnd"/>
      <w:r>
        <w:rPr>
          <w:rFonts w:ascii="Arial" w:hAnsi="Arial" w:cs="Arial"/>
          <w:sz w:val="20"/>
          <w:szCs w:val="20"/>
        </w:rPr>
        <w:t xml:space="preserve"> или </w:t>
      </w:r>
      <w:proofErr w:type="spellStart"/>
      <w:r>
        <w:rPr>
          <w:rFonts w:ascii="Arial" w:hAnsi="Arial" w:cs="Arial"/>
          <w:sz w:val="20"/>
          <w:szCs w:val="20"/>
        </w:rPr>
        <w:t>Scopus</w:t>
      </w:r>
      <w:proofErr w:type="spellEnd"/>
      <w:r>
        <w:rPr>
          <w:rFonts w:ascii="Arial" w:hAnsi="Arial" w:cs="Arial"/>
          <w:sz w:val="20"/>
          <w:szCs w:val="20"/>
        </w:rPr>
        <w:t>, или не менее 20 в журналах, индексируемых в Российском индексе научного цитирования.</w:t>
      </w:r>
      <w:proofErr w:type="gramEnd"/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7.1.8. </w:t>
      </w:r>
      <w:proofErr w:type="gramStart"/>
      <w:r>
        <w:rPr>
          <w:rFonts w:ascii="Arial" w:hAnsi="Arial" w:cs="Arial"/>
          <w:sz w:val="20"/>
          <w:szCs w:val="20"/>
        </w:rPr>
        <w:t xml:space="preserve">В организации, реализующей программы магистратуры, среднегодовой объем финансирования научных исследований на одного научно-педагогического работника (в приведенных к целочисленным </w:t>
      </w:r>
      <w:r>
        <w:rPr>
          <w:rFonts w:ascii="Arial" w:hAnsi="Arial" w:cs="Arial"/>
          <w:sz w:val="20"/>
          <w:szCs w:val="20"/>
        </w:rPr>
        <w:lastRenderedPageBreak/>
        <w:t>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Пункт 4</w:t>
        </w:r>
      </w:hyperlink>
      <w:r>
        <w:rPr>
          <w:rFonts w:ascii="Arial" w:hAnsi="Arial" w:cs="Arial"/>
          <w:sz w:val="20"/>
          <w:szCs w:val="20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7.2. Требования к кадровым условиям реализации программы магистратуры.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7.2.2. </w:t>
      </w:r>
      <w:proofErr w:type="gramStart"/>
      <w:r>
        <w:rPr>
          <w:rFonts w:ascii="Arial" w:hAnsi="Arial" w:cs="Arial"/>
          <w:sz w:val="20"/>
          <w:szCs w:val="20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7.2.3. </w:t>
      </w:r>
      <w:proofErr w:type="gramStart"/>
      <w:r>
        <w:rPr>
          <w:rFonts w:ascii="Arial" w:hAnsi="Arial" w:cs="Arial"/>
          <w:sz w:val="20"/>
          <w:szCs w:val="20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 процентов для программы академической магистратуры;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 процентов для программы прикладной магистратуры.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7.2.4. </w:t>
      </w:r>
      <w:proofErr w:type="gramStart"/>
      <w:r>
        <w:rPr>
          <w:rFonts w:ascii="Arial" w:hAnsi="Arial" w:cs="Arial"/>
          <w:sz w:val="20"/>
          <w:szCs w:val="20"/>
        </w:rP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лет), в общем числе работников, реализующих программу магистратуры, должна быть не менее:</w:t>
      </w:r>
      <w:proofErr w:type="gramEnd"/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процентов для академической магистратуры;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 процентов для прикладной магистратуры.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7.2.5. </w:t>
      </w:r>
      <w:proofErr w:type="gramStart"/>
      <w:r>
        <w:rPr>
          <w:rFonts w:ascii="Arial" w:hAnsi="Arial" w:cs="Arial"/>
          <w:sz w:val="20"/>
          <w:szCs w:val="20"/>
        </w:rP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>
        <w:rPr>
          <w:rFonts w:ascii="Arial" w:hAnsi="Arial" w:cs="Arial"/>
          <w:sz w:val="20"/>
          <w:szCs w:val="20"/>
        </w:rPr>
        <w:t xml:space="preserve"> научных журналах и изданиях, а также </w:t>
      </w:r>
      <w:proofErr w:type="gramStart"/>
      <w:r>
        <w:rPr>
          <w:rFonts w:ascii="Arial" w:hAnsi="Arial" w:cs="Arial"/>
          <w:sz w:val="20"/>
          <w:szCs w:val="20"/>
        </w:rPr>
        <w:t>осуществляющим</w:t>
      </w:r>
      <w:proofErr w:type="gramEnd"/>
      <w:r>
        <w:rPr>
          <w:rFonts w:ascii="Arial" w:hAnsi="Arial" w:cs="Arial"/>
          <w:sz w:val="20"/>
          <w:szCs w:val="20"/>
        </w:rP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7.3. Требования к материально-техническому и учебно-методическому обеспечению программ магистратуры.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осваивать умения и навыки, предусмотренные профессиональной деятельностью.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7.4. Требования к финансовым условиям реализации программ магистратуры.</w:t>
      </w:r>
    </w:p>
    <w:p w:rsidR="007310CB" w:rsidRDefault="007310CB" w:rsidP="007310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7.4.1. </w:t>
      </w:r>
      <w:proofErr w:type="gramStart"/>
      <w:r>
        <w:rPr>
          <w:rFonts w:ascii="Arial" w:hAnsi="Arial" w:cs="Arial"/>
          <w:sz w:val="20"/>
          <w:szCs w:val="20"/>
        </w:rP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Методикой</w:t>
        </w:r>
      </w:hyperlink>
      <w:r>
        <w:rPr>
          <w:rFonts w:ascii="Arial" w:hAnsi="Arial" w:cs="Arial"/>
          <w:sz w:val="20"/>
          <w:szCs w:val="20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rPr>
          <w:rFonts w:ascii="Arial" w:hAnsi="Arial" w:cs="Arial"/>
          <w:sz w:val="20"/>
          <w:szCs w:val="20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10CB" w:rsidRDefault="007310CB" w:rsidP="007310C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363C1B" w:rsidRDefault="007310CB">
      <w:bookmarkStart w:id="1" w:name="_GoBack"/>
      <w:bookmarkEnd w:id="1"/>
    </w:p>
    <w:sectPr w:rsidR="00363C1B" w:rsidSect="00871E2F">
      <w:pgSz w:w="11906" w:h="16838"/>
      <w:pgMar w:top="1440" w:right="567" w:bottom="144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85"/>
    <w:rsid w:val="000A1D57"/>
    <w:rsid w:val="002F3ACB"/>
    <w:rsid w:val="007310CB"/>
    <w:rsid w:val="0095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A777CB7EB87BC32FEEB8928B5F5A44CD740740A54F498543FA30D2DD396016D4E90D87EBD61F07CC711FF82Bi3l6H" TargetMode="External"/><Relationship Id="rId13" Type="http://schemas.openxmlformats.org/officeDocument/2006/relationships/hyperlink" Target="consultantplus://offline/ref=2DA777CB7EB87BC32FEEB8928B5F5A44CF75034AAB4D498543FA30D2DD396016D4E90D87EBD61F07CC711FF82Bi3l6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A777CB7EB87BC32FEEB8928B5F5A44CE7D0645AD40498543FA30D2DD396016C6E9558BEAD10102CE6449A96E6B2D7A813F9B973ABB10EFiAl3H" TargetMode="External"/><Relationship Id="rId12" Type="http://schemas.openxmlformats.org/officeDocument/2006/relationships/hyperlink" Target="consultantplus://offline/ref=2DA777CB7EB87BC32FEEB8928B5F5A44CE770341AF4B498543FA30D2DD396016C6E9558BEAD10503C86449A96E6B2D7A813F9B973ABB10EFiAl3H" TargetMode="External"/><Relationship Id="rId17" Type="http://schemas.openxmlformats.org/officeDocument/2006/relationships/hyperlink" Target="consultantplus://offline/ref=2DA777CB7EB87BC32FEEB8928B5F5A44CD700342AC48498543FA30D2DD396016C6E9558BEAD10107CE6449A96E6B2D7A813F9B973ABB10EFiAl3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DA777CB7EB87BC32FEEB8928B5F5A44CD700146AA40498543FA30D2DD396016C6E9558BEAD10107CA6449A96E6B2D7A813F9B973ABB10EFiAl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A777CB7EB87BC32FEEB8928B5F5A44CE770341AF4B498543FA30D2DD396016C6E9558BEAD10503CF6449A96E6B2D7A813F9B973ABB10EFiAl3H" TargetMode="External"/><Relationship Id="rId11" Type="http://schemas.openxmlformats.org/officeDocument/2006/relationships/hyperlink" Target="consultantplus://offline/ref=2DA777CB7EB87BC32FEEB8928B5F5A44CE7C0745A94B498543FA30D2DD396016C6E9558BEAD10104CD6449A96E6B2D7A813F9B973ABB10EFiAl3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DA777CB7EB87BC32FEEB8928B5F5A44CD740347AD4E498543FA30D2DD396016C6E9558BEAD10106C56449A96E6B2D7A813F9B973ABB10EFiAl3H" TargetMode="External"/><Relationship Id="rId10" Type="http://schemas.openxmlformats.org/officeDocument/2006/relationships/hyperlink" Target="consultantplus://offline/ref=2DA777CB7EB87BC32FEEB8928B5F5A44CE770341AF4B498543FA30D2DD396016C6E9558BEAD10503CF6449A96E6B2D7A813F9B973ABB10EFiAl3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A777CB7EB87BC32FEEB8928B5F5A44CD720945A44E498543FA30D2DD396016C6E9558BEAD00304CF6449A96E6B2D7A813F9B973ABB10EFiAl3H" TargetMode="External"/><Relationship Id="rId14" Type="http://schemas.openxmlformats.org/officeDocument/2006/relationships/hyperlink" Target="consultantplus://offline/ref=2DA777CB7EB87BC32FEEB8928B5F5A44CE7D074AA941498543FA30D2DD396016D4E90D87EBD61F07CC711FF82Bi3l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5110</Words>
  <Characters>29127</Characters>
  <Application>Microsoft Office Word</Application>
  <DocSecurity>0</DocSecurity>
  <Lines>242</Lines>
  <Paragraphs>68</Paragraphs>
  <ScaleCrop>false</ScaleCrop>
  <Company/>
  <LinksUpToDate>false</LinksUpToDate>
  <CharactersWithSpaces>34169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 Рохлова</dc:creator>
  <cp:keywords/>
  <dc:description/>
  <cp:lastModifiedBy>Елена Леонидовна Рохлова</cp:lastModifiedBy>
  <cp:revision>2</cp:revision>
  <dcterms:created xsi:type="dcterms:W3CDTF">2018-10-17T07:37:00Z</dcterms:created>
  <dcterms:modified xsi:type="dcterms:W3CDTF">2018-10-17T07:39:00Z</dcterms:modified>
</cp:coreProperties>
</file>