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2D6" w:rsidRDefault="003362D6" w:rsidP="003362D6">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r>
        <w:rPr>
          <w:rFonts w:ascii="Tahoma" w:eastAsiaTheme="minorHAnsi" w:hAnsi="Tahoma" w:cs="Tahoma"/>
          <w:color w:val="auto"/>
          <w:sz w:val="20"/>
          <w:szCs w:val="20"/>
        </w:rPr>
        <w:br/>
      </w:r>
    </w:p>
    <w:p w:rsidR="003362D6" w:rsidRDefault="003362D6" w:rsidP="003362D6">
      <w:pPr>
        <w:autoSpaceDE w:val="0"/>
        <w:autoSpaceDN w:val="0"/>
        <w:adjustRightInd w:val="0"/>
        <w:spacing w:after="0" w:line="240" w:lineRule="auto"/>
        <w:ind w:firstLine="540"/>
        <w:jc w:val="both"/>
        <w:outlineLvl w:val="0"/>
        <w:rPr>
          <w:rFonts w:ascii="Arial" w:hAnsi="Arial" w:cs="Arial"/>
          <w:sz w:val="20"/>
          <w:szCs w:val="20"/>
        </w:rPr>
      </w:pPr>
    </w:p>
    <w:p w:rsidR="003362D6" w:rsidRDefault="003362D6" w:rsidP="003362D6">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24 ноября 2015 г. N 39819</w:t>
      </w:r>
    </w:p>
    <w:p w:rsidR="003362D6" w:rsidRDefault="003362D6" w:rsidP="003362D6">
      <w:pPr>
        <w:pBdr>
          <w:top w:val="single" w:sz="6" w:space="0" w:color="auto"/>
        </w:pBdr>
        <w:autoSpaceDE w:val="0"/>
        <w:autoSpaceDN w:val="0"/>
        <w:adjustRightInd w:val="0"/>
        <w:spacing w:before="100" w:after="100" w:line="240" w:lineRule="auto"/>
        <w:jc w:val="both"/>
        <w:rPr>
          <w:rFonts w:ascii="Arial" w:hAnsi="Arial" w:cs="Arial"/>
          <w:sz w:val="2"/>
          <w:szCs w:val="2"/>
        </w:rPr>
      </w:pPr>
    </w:p>
    <w:p w:rsidR="003362D6" w:rsidRDefault="003362D6" w:rsidP="003362D6">
      <w:pPr>
        <w:autoSpaceDE w:val="0"/>
        <w:autoSpaceDN w:val="0"/>
        <w:adjustRightInd w:val="0"/>
        <w:spacing w:after="0" w:line="240" w:lineRule="auto"/>
        <w:ind w:firstLine="540"/>
        <w:jc w:val="both"/>
        <w:rPr>
          <w:rFonts w:ascii="Arial" w:hAnsi="Arial" w:cs="Arial"/>
          <w:sz w:val="20"/>
          <w:szCs w:val="20"/>
        </w:rPr>
      </w:pPr>
    </w:p>
    <w:p w:rsidR="003362D6" w:rsidRDefault="003362D6" w:rsidP="003362D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МИНИСТЕРСТВО ОБРАЗОВАНИЯ И НАУКИ РОССИЙСКОЙ ФЕДЕРАЦИИ</w:t>
      </w:r>
    </w:p>
    <w:p w:rsidR="003362D6" w:rsidRDefault="003362D6" w:rsidP="003362D6">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3362D6" w:rsidRDefault="003362D6" w:rsidP="003362D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3362D6" w:rsidRDefault="003362D6" w:rsidP="003362D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3 ноября 2015 г. N 1299</w:t>
      </w:r>
    </w:p>
    <w:p w:rsidR="003362D6" w:rsidRDefault="003362D6" w:rsidP="003362D6">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3362D6" w:rsidRDefault="003362D6" w:rsidP="003362D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w:t>
      </w:r>
    </w:p>
    <w:p w:rsidR="003362D6" w:rsidRDefault="003362D6" w:rsidP="003362D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ФЕДЕРАЛЬНОГО ГОСУДАРСТВЕННОГО ОБРАЗОВАТЕЛЬНОГО СТАНДАРТА</w:t>
      </w:r>
    </w:p>
    <w:p w:rsidR="003362D6" w:rsidRDefault="003362D6" w:rsidP="003362D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 ПО НАПРАВЛЕНИЮ ПОДГОТОВКИ 45.04.01</w:t>
      </w:r>
    </w:p>
    <w:p w:rsidR="003362D6" w:rsidRDefault="003362D6" w:rsidP="003362D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ФИЛОЛОГИЯ (УРОВЕНЬ МАГИСТРАТУРЫ)</w:t>
      </w:r>
    </w:p>
    <w:p w:rsidR="003362D6" w:rsidRDefault="003362D6" w:rsidP="003362D6">
      <w:pPr>
        <w:autoSpaceDE w:val="0"/>
        <w:autoSpaceDN w:val="0"/>
        <w:adjustRightInd w:val="0"/>
        <w:spacing w:after="0" w:line="240" w:lineRule="auto"/>
        <w:jc w:val="center"/>
        <w:rPr>
          <w:rFonts w:ascii="Arial" w:hAnsi="Arial" w:cs="Arial"/>
          <w:sz w:val="20"/>
          <w:szCs w:val="20"/>
        </w:rPr>
      </w:pPr>
    </w:p>
    <w:p w:rsidR="003362D6" w:rsidRDefault="003362D6" w:rsidP="003362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и </w:t>
      </w:r>
      <w:hyperlink r:id="rId6" w:history="1">
        <w:r>
          <w:rPr>
            <w:rFonts w:ascii="Arial" w:hAnsi="Arial" w:cs="Arial"/>
            <w:color w:val="0000FF"/>
            <w:sz w:val="20"/>
            <w:szCs w:val="20"/>
          </w:rPr>
          <w:t>пунктом 17</w:t>
        </w:r>
      </w:hyperlink>
      <w:r>
        <w:rPr>
          <w:rFonts w:ascii="Arial" w:hAnsi="Arial" w:cs="Arial"/>
          <w:sz w:val="20"/>
          <w:szCs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федеральный государственный образовательный </w:t>
      </w:r>
      <w:hyperlink w:anchor="Par34" w:history="1">
        <w:r>
          <w:rPr>
            <w:rFonts w:ascii="Arial" w:hAnsi="Arial" w:cs="Arial"/>
            <w:color w:val="0000FF"/>
            <w:sz w:val="20"/>
            <w:szCs w:val="20"/>
          </w:rPr>
          <w:t>стандарт</w:t>
        </w:r>
      </w:hyperlink>
      <w:r>
        <w:rPr>
          <w:rFonts w:ascii="Arial" w:hAnsi="Arial" w:cs="Arial"/>
          <w:sz w:val="20"/>
          <w:szCs w:val="20"/>
        </w:rPr>
        <w:t xml:space="preserve"> высшего образования по направлению подготовки 45.04.01 Филология (уровень магистратуры).</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Признать утратившими силу:</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hyperlink r:id="rId7" w:history="1">
        <w:r>
          <w:rPr>
            <w:rFonts w:ascii="Arial" w:hAnsi="Arial" w:cs="Arial"/>
            <w:color w:val="0000FF"/>
            <w:sz w:val="20"/>
            <w:szCs w:val="20"/>
          </w:rPr>
          <w:t>приказ</w:t>
        </w:r>
      </w:hyperlink>
      <w:r>
        <w:rPr>
          <w:rFonts w:ascii="Arial" w:hAnsi="Arial" w:cs="Arial"/>
          <w:sz w:val="20"/>
          <w:szCs w:val="20"/>
        </w:rPr>
        <w:t xml:space="preserve"> Министерства образования и науки Российской Федерации от 14 января 2010 г. N 24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032700 Филология (квалификация (степень) магистр) (зарегистрирован Министерством юстиции Российской Федерации 16 февраля 2010 г., регистрационный 16443);</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hyperlink r:id="rId8" w:history="1">
        <w:r>
          <w:rPr>
            <w:rFonts w:ascii="Arial" w:hAnsi="Arial" w:cs="Arial"/>
            <w:color w:val="0000FF"/>
            <w:sz w:val="20"/>
            <w:szCs w:val="20"/>
          </w:rPr>
          <w:t>пункт 31</w:t>
        </w:r>
      </w:hyperlink>
      <w:r>
        <w:rPr>
          <w:rFonts w:ascii="Arial" w:hAnsi="Arial" w:cs="Arial"/>
          <w:sz w:val="20"/>
          <w:szCs w:val="20"/>
        </w:rP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3362D6" w:rsidRDefault="003362D6" w:rsidP="003362D6">
      <w:pPr>
        <w:autoSpaceDE w:val="0"/>
        <w:autoSpaceDN w:val="0"/>
        <w:adjustRightInd w:val="0"/>
        <w:spacing w:after="0" w:line="240" w:lineRule="auto"/>
        <w:ind w:firstLine="540"/>
        <w:jc w:val="both"/>
        <w:rPr>
          <w:rFonts w:ascii="Arial" w:hAnsi="Arial" w:cs="Arial"/>
          <w:sz w:val="20"/>
          <w:szCs w:val="20"/>
        </w:rPr>
      </w:pPr>
    </w:p>
    <w:p w:rsidR="003362D6" w:rsidRDefault="003362D6" w:rsidP="003362D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3362D6" w:rsidRDefault="003362D6" w:rsidP="003362D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Д.В.ЛИВАНОВ</w:t>
      </w:r>
    </w:p>
    <w:p w:rsidR="003362D6" w:rsidRDefault="003362D6" w:rsidP="003362D6">
      <w:pPr>
        <w:autoSpaceDE w:val="0"/>
        <w:autoSpaceDN w:val="0"/>
        <w:adjustRightInd w:val="0"/>
        <w:spacing w:after="0" w:line="240" w:lineRule="auto"/>
        <w:ind w:firstLine="540"/>
        <w:jc w:val="both"/>
        <w:rPr>
          <w:rFonts w:ascii="Arial" w:hAnsi="Arial" w:cs="Arial"/>
          <w:sz w:val="20"/>
          <w:szCs w:val="20"/>
        </w:rPr>
      </w:pPr>
    </w:p>
    <w:p w:rsidR="003362D6" w:rsidRDefault="003362D6" w:rsidP="003362D6">
      <w:pPr>
        <w:autoSpaceDE w:val="0"/>
        <w:autoSpaceDN w:val="0"/>
        <w:adjustRightInd w:val="0"/>
        <w:spacing w:after="0" w:line="240" w:lineRule="auto"/>
        <w:ind w:firstLine="540"/>
        <w:jc w:val="both"/>
        <w:rPr>
          <w:rFonts w:ascii="Arial" w:hAnsi="Arial" w:cs="Arial"/>
          <w:sz w:val="20"/>
          <w:szCs w:val="20"/>
        </w:rPr>
      </w:pPr>
    </w:p>
    <w:p w:rsidR="003362D6" w:rsidRDefault="003362D6" w:rsidP="003362D6">
      <w:pPr>
        <w:autoSpaceDE w:val="0"/>
        <w:autoSpaceDN w:val="0"/>
        <w:adjustRightInd w:val="0"/>
        <w:spacing w:after="0" w:line="240" w:lineRule="auto"/>
        <w:ind w:firstLine="540"/>
        <w:jc w:val="both"/>
        <w:rPr>
          <w:rFonts w:ascii="Arial" w:hAnsi="Arial" w:cs="Arial"/>
          <w:sz w:val="20"/>
          <w:szCs w:val="20"/>
        </w:rPr>
      </w:pPr>
    </w:p>
    <w:p w:rsidR="003362D6" w:rsidRDefault="003362D6" w:rsidP="003362D6">
      <w:pPr>
        <w:autoSpaceDE w:val="0"/>
        <w:autoSpaceDN w:val="0"/>
        <w:adjustRightInd w:val="0"/>
        <w:spacing w:after="0" w:line="240" w:lineRule="auto"/>
        <w:ind w:firstLine="540"/>
        <w:jc w:val="both"/>
        <w:rPr>
          <w:rFonts w:ascii="Arial" w:hAnsi="Arial" w:cs="Arial"/>
          <w:sz w:val="20"/>
          <w:szCs w:val="20"/>
        </w:rPr>
      </w:pPr>
    </w:p>
    <w:p w:rsidR="003362D6" w:rsidRDefault="003362D6" w:rsidP="003362D6">
      <w:pPr>
        <w:autoSpaceDE w:val="0"/>
        <w:autoSpaceDN w:val="0"/>
        <w:adjustRightInd w:val="0"/>
        <w:spacing w:after="0" w:line="240" w:lineRule="auto"/>
        <w:ind w:firstLine="540"/>
        <w:jc w:val="both"/>
        <w:rPr>
          <w:rFonts w:ascii="Arial" w:hAnsi="Arial" w:cs="Arial"/>
          <w:sz w:val="20"/>
          <w:szCs w:val="20"/>
        </w:rPr>
      </w:pPr>
    </w:p>
    <w:p w:rsidR="003362D6" w:rsidRDefault="003362D6" w:rsidP="003362D6">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3362D6" w:rsidRDefault="003362D6" w:rsidP="003362D6">
      <w:pPr>
        <w:autoSpaceDE w:val="0"/>
        <w:autoSpaceDN w:val="0"/>
        <w:adjustRightInd w:val="0"/>
        <w:spacing w:after="0" w:line="240" w:lineRule="auto"/>
        <w:jc w:val="right"/>
        <w:rPr>
          <w:rFonts w:ascii="Arial" w:hAnsi="Arial" w:cs="Arial"/>
          <w:sz w:val="20"/>
          <w:szCs w:val="20"/>
        </w:rPr>
      </w:pPr>
    </w:p>
    <w:p w:rsidR="003362D6" w:rsidRDefault="003362D6" w:rsidP="003362D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3362D6" w:rsidRDefault="003362D6" w:rsidP="003362D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Министерства образования</w:t>
      </w:r>
    </w:p>
    <w:p w:rsidR="003362D6" w:rsidRDefault="003362D6" w:rsidP="003362D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науки Российской Федерации</w:t>
      </w:r>
    </w:p>
    <w:p w:rsidR="003362D6" w:rsidRDefault="003362D6" w:rsidP="003362D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 ноября 2015 г. N 1299</w:t>
      </w:r>
    </w:p>
    <w:p w:rsidR="003362D6" w:rsidRDefault="003362D6" w:rsidP="003362D6">
      <w:pPr>
        <w:autoSpaceDE w:val="0"/>
        <w:autoSpaceDN w:val="0"/>
        <w:adjustRightInd w:val="0"/>
        <w:spacing w:after="0" w:line="240" w:lineRule="auto"/>
        <w:jc w:val="right"/>
        <w:rPr>
          <w:rFonts w:ascii="Arial" w:hAnsi="Arial" w:cs="Arial"/>
          <w:sz w:val="20"/>
          <w:szCs w:val="20"/>
        </w:rPr>
      </w:pPr>
    </w:p>
    <w:p w:rsidR="003362D6" w:rsidRDefault="003362D6" w:rsidP="003362D6">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34"/>
      <w:bookmarkEnd w:id="0"/>
      <w:r>
        <w:rPr>
          <w:rFonts w:ascii="Arial" w:eastAsiaTheme="minorHAnsi" w:hAnsi="Arial" w:cs="Arial"/>
          <w:color w:val="auto"/>
          <w:sz w:val="20"/>
          <w:szCs w:val="20"/>
        </w:rPr>
        <w:t>ФЕДЕРАЛЬНЫЙ ГОСУДАРСТВЕННЫЙ ОБРАЗОВАТЕЛЬНЫЙ СТАНДАРТ</w:t>
      </w:r>
    </w:p>
    <w:p w:rsidR="003362D6" w:rsidRDefault="003362D6" w:rsidP="003362D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w:t>
      </w:r>
    </w:p>
    <w:p w:rsidR="003362D6" w:rsidRDefault="003362D6" w:rsidP="003362D6">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3362D6" w:rsidRDefault="003362D6" w:rsidP="003362D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УРОВЕНЬ ВЫСШЕГО ОБРАЗОВАНИЯ</w:t>
      </w:r>
    </w:p>
    <w:p w:rsidR="003362D6" w:rsidRDefault="003362D6" w:rsidP="003362D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МАГИСТРАТУРА</w:t>
      </w:r>
    </w:p>
    <w:p w:rsidR="003362D6" w:rsidRDefault="003362D6" w:rsidP="003362D6">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3362D6" w:rsidRDefault="003362D6" w:rsidP="003362D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НАПРАВЛЕНИЕ ПОДГОТОВКИ</w:t>
      </w:r>
    </w:p>
    <w:p w:rsidR="003362D6" w:rsidRDefault="003362D6" w:rsidP="003362D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45.04.01 ФИЛОЛОГИЯ</w:t>
      </w:r>
    </w:p>
    <w:p w:rsidR="003362D6" w:rsidRDefault="003362D6" w:rsidP="003362D6">
      <w:pPr>
        <w:autoSpaceDE w:val="0"/>
        <w:autoSpaceDN w:val="0"/>
        <w:adjustRightInd w:val="0"/>
        <w:spacing w:after="0" w:line="240" w:lineRule="auto"/>
        <w:jc w:val="center"/>
        <w:rPr>
          <w:rFonts w:ascii="Arial" w:hAnsi="Arial" w:cs="Arial"/>
          <w:sz w:val="20"/>
          <w:szCs w:val="20"/>
        </w:rPr>
      </w:pPr>
    </w:p>
    <w:p w:rsidR="003362D6" w:rsidRDefault="003362D6" w:rsidP="003362D6">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ОБЛАСТЬ ПРИМЕНЕНИЯ</w:t>
      </w:r>
    </w:p>
    <w:p w:rsidR="003362D6" w:rsidRDefault="003362D6" w:rsidP="003362D6">
      <w:pPr>
        <w:autoSpaceDE w:val="0"/>
        <w:autoSpaceDN w:val="0"/>
        <w:adjustRightInd w:val="0"/>
        <w:spacing w:after="0" w:line="240" w:lineRule="auto"/>
        <w:jc w:val="center"/>
        <w:rPr>
          <w:rFonts w:ascii="Arial" w:hAnsi="Arial" w:cs="Arial"/>
          <w:sz w:val="20"/>
          <w:szCs w:val="20"/>
        </w:rPr>
      </w:pPr>
    </w:p>
    <w:p w:rsidR="003362D6" w:rsidRDefault="003362D6" w:rsidP="003362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45.04.01 Филология (далее соответственно - программа магистратуры, направление подготовки).</w:t>
      </w:r>
    </w:p>
    <w:p w:rsidR="003362D6" w:rsidRDefault="003362D6" w:rsidP="003362D6">
      <w:pPr>
        <w:autoSpaceDE w:val="0"/>
        <w:autoSpaceDN w:val="0"/>
        <w:adjustRightInd w:val="0"/>
        <w:spacing w:after="0" w:line="240" w:lineRule="auto"/>
        <w:ind w:firstLine="540"/>
        <w:jc w:val="both"/>
        <w:rPr>
          <w:rFonts w:ascii="Arial" w:hAnsi="Arial" w:cs="Arial"/>
          <w:sz w:val="20"/>
          <w:szCs w:val="20"/>
        </w:rPr>
      </w:pPr>
    </w:p>
    <w:p w:rsidR="003362D6" w:rsidRDefault="003362D6" w:rsidP="003362D6">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ИСПОЛЬЗУЕМЫЕ СОКРАЩЕНИЯ</w:t>
      </w:r>
    </w:p>
    <w:p w:rsidR="003362D6" w:rsidRDefault="003362D6" w:rsidP="003362D6">
      <w:pPr>
        <w:autoSpaceDE w:val="0"/>
        <w:autoSpaceDN w:val="0"/>
        <w:adjustRightInd w:val="0"/>
        <w:spacing w:after="0" w:line="240" w:lineRule="auto"/>
        <w:jc w:val="center"/>
        <w:rPr>
          <w:rFonts w:ascii="Arial" w:hAnsi="Arial" w:cs="Arial"/>
          <w:sz w:val="20"/>
          <w:szCs w:val="20"/>
        </w:rPr>
      </w:pPr>
    </w:p>
    <w:p w:rsidR="003362D6" w:rsidRDefault="003362D6" w:rsidP="003362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настоящем федеральном государственном образовательном стандарте используются следующие сокращения:</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 - общекультурные компетенции;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ОПК - общепрофессиональные компетенции;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ПК - профессиональные компетенции;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ФГОС ВО - федеральный государственный образовательный стандарт высшего образования;</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форма - сетевая форма реализации образовательных программ.</w:t>
      </w:r>
    </w:p>
    <w:p w:rsidR="003362D6" w:rsidRDefault="003362D6" w:rsidP="003362D6">
      <w:pPr>
        <w:autoSpaceDE w:val="0"/>
        <w:autoSpaceDN w:val="0"/>
        <w:adjustRightInd w:val="0"/>
        <w:spacing w:after="0" w:line="240" w:lineRule="auto"/>
        <w:ind w:firstLine="540"/>
        <w:jc w:val="both"/>
        <w:rPr>
          <w:rFonts w:ascii="Arial" w:hAnsi="Arial" w:cs="Arial"/>
          <w:sz w:val="20"/>
          <w:szCs w:val="20"/>
        </w:rPr>
      </w:pPr>
    </w:p>
    <w:p w:rsidR="003362D6" w:rsidRDefault="003362D6" w:rsidP="003362D6">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ХАРАКТЕРИСТИКА НАПРАВЛЕНИЯ ПОДГОТОВКИ</w:t>
      </w:r>
    </w:p>
    <w:p w:rsidR="003362D6" w:rsidRDefault="003362D6" w:rsidP="003362D6">
      <w:pPr>
        <w:autoSpaceDE w:val="0"/>
        <w:autoSpaceDN w:val="0"/>
        <w:adjustRightInd w:val="0"/>
        <w:spacing w:after="0" w:line="240" w:lineRule="auto"/>
        <w:ind w:firstLine="540"/>
        <w:jc w:val="both"/>
        <w:rPr>
          <w:rFonts w:ascii="Arial" w:hAnsi="Arial" w:cs="Arial"/>
          <w:sz w:val="20"/>
          <w:szCs w:val="20"/>
        </w:rPr>
      </w:pPr>
    </w:p>
    <w:p w:rsidR="003362D6" w:rsidRDefault="003362D6" w:rsidP="003362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Обучение по программе магистратуры в организации осуществляется в очной, очно-заочной или заочной формах обучения.</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Срок получения образования по программе магистратуры:</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может быть увеличен по их желанию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з.е.</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Конкретный срок получения образования и объем программы магистратуры, реализуемый за один учебный год, в очно-заочной или заочной формах обучения, а также по индивидуальному учебному плану определяются организацией самостоятельно в пределах сроков, установленных настоящим пунктом.</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3.4. При реализации программы магистратуры организация вправе применять электронное обучение и дистанционные образовательные технологии.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Реализация программы магистратуры возможна с использованием сетевой формы.</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3362D6" w:rsidRDefault="003362D6" w:rsidP="003362D6">
      <w:pPr>
        <w:autoSpaceDE w:val="0"/>
        <w:autoSpaceDN w:val="0"/>
        <w:adjustRightInd w:val="0"/>
        <w:spacing w:after="0" w:line="240" w:lineRule="auto"/>
        <w:jc w:val="center"/>
        <w:rPr>
          <w:rFonts w:ascii="Arial" w:hAnsi="Arial" w:cs="Arial"/>
          <w:sz w:val="20"/>
          <w:szCs w:val="20"/>
        </w:rPr>
      </w:pPr>
    </w:p>
    <w:p w:rsidR="003362D6" w:rsidRDefault="003362D6" w:rsidP="003362D6">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ХАРАКТЕРИСТИКА ПРОФЕССИОНАЛЬНОЙ ДЕЯТЕЛЬНОСТИ</w:t>
      </w:r>
    </w:p>
    <w:p w:rsidR="003362D6" w:rsidRDefault="003362D6" w:rsidP="003362D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ВЫПУСКНИКОВ, ОСВОИВШИХ ПРОГРАММУ МАГИСТРАТУРЫ</w:t>
      </w:r>
    </w:p>
    <w:p w:rsidR="003362D6" w:rsidRDefault="003362D6" w:rsidP="003362D6">
      <w:pPr>
        <w:autoSpaceDE w:val="0"/>
        <w:autoSpaceDN w:val="0"/>
        <w:adjustRightInd w:val="0"/>
        <w:spacing w:after="0" w:line="240" w:lineRule="auto"/>
        <w:ind w:firstLine="540"/>
        <w:jc w:val="both"/>
        <w:rPr>
          <w:rFonts w:ascii="Arial" w:hAnsi="Arial" w:cs="Arial"/>
          <w:sz w:val="20"/>
          <w:szCs w:val="20"/>
        </w:rPr>
      </w:pPr>
    </w:p>
    <w:p w:rsidR="003362D6" w:rsidRDefault="003362D6" w:rsidP="003362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Область профессиональной деятельности выпускников, освоивших программу магистратуры, включает решение комплексных задач, связанных с использованием филологических знаний и умений, в организациях, осуществляющих образовательную деятельность, в организациях культуры, в средствах массовой коммуникации (далее - СМИ), в области межкультурной коммуникации и других областях социально-гуманитарной деятельности.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Объектами профессиональной деятельности выпускников, освоивших программу магистратуры, являются:</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языки (государственный язык Российской Федерации и иностранные языки) в их теоретическом и практическом, синхроническом, диахроническом, социокультурном и диалектологическом аспектах;</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художественная литература (отечественная и зарубежная) и устное народное творчество в их историческом и теоретическом аспектах с учетом закономерностей бытования в разных странах и регионах;</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различные типы текстов - письменных, устных и виртуальных (включая гипертексты и текстовые элементы мультимедийных объектов); устная, письменная и виртуальная коммуникация.</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Виды профессиональной деятельности, к которым готовятся выпускники; освоившие программу магистратуры:</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прикладная;</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проектная и организационно-управленческая.</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научно-исследовательского и материально-технических ресурсов организации.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деятельность:</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самостоятельное проведение научных исследований в области системы языка и основных закономерностей функционирования фольклора и литературы в синхроническом и диахроническом аспектах, в сфере устной, письменной и виртуальной коммуникации;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квалифицированный анализ, оценка, реферирование, оформление и продвижение результатов собственной научной деятельности;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и редактирование научных публикаций;</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работе научных коллективов, проводящих филологические исследования;</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 деятельность:</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планирование, организация и реализация образовательного процесса по отдельным видам учебных занятий (лабораторные, практические и семинарские занятия) по филологическим дисциплинам (модулям) в образовательных организациях высшего образования;</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под руководством специалиста более высокой квалификации учебно-методического обеспечения реализации учебных дисциплин (модулей) или отдельных видов учебных занятий программ бакалавриата и дополнительных профессиональных программ для лиц, имеющих или получающих соответствующую квалификацию;</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рецензирование и экспертиза научно-методических и учебно-методических материалов по филологическим дисциплинам (модулям);</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организации научно-исследовательской, проектной, учебно-профессиональной и иной деятельности обучающихся по программам бакалавриата и дополнительного профессионального образования (далее - ДПО), в профориентационных мероприятиях со школьниками;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 поддержка профессионального самоопределения обучающихся по программам бакалавриата и ДПО;</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прикладная деятельность:</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создание, редактирование, реферирование, систематизирование и трансформация (например, изменению стиля, жанра, целевой принадлежности текста) всех типов текстов официально-делового и публицистического стиля (в том числе деловой документации, рекламных, пропагандистских);</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работе, связанной с лексикографическим описанием языка, кодификацией языковой нормы;</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анализ информации и подготовка информационно-аналитических материалов;</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планирование и осуществление публичных выступлений, межличностной и массовой, в том числе межкультурной и межнациональной коммуникации с применением навыков ораторского искусства;</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квалифицированный перевод различных типов текстов, в том числе художественных произведений, со снабжением их необходимым редакторским и издательским комментарием и научным аппаратом;</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квалифицированное синхронное или последовательное сопровождение международных форумов и переговоров, обеспечение приема делегаций из зарубежных стран;</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проектная и организационно-управленческая деятельность:</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реализация и распространение результатов:</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научных проектов в области филологии и гуманитарного знания;</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образовательных проектов, в том числе связанных с организацией креативной деятельности обучающихся;</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проектов в области пропаганды филологических знаний, межкультурной коммуникации, межнационального речевого общения;</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книгоиздательских проектов;</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научных семинаров, дискуссий и конференций;</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деловых контактов и протокольных мероприятий;</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переводческого обеспечения различных форм совещаний, консультаций, переговоров;</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процесса редактирования, комментирования, распространения различных типов текстов;</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работы профильного подразделения в учреждениях государственного управления, культуры, издательствах, СМИ.</w:t>
      </w:r>
    </w:p>
    <w:p w:rsidR="003362D6" w:rsidRDefault="003362D6" w:rsidP="003362D6">
      <w:pPr>
        <w:autoSpaceDE w:val="0"/>
        <w:autoSpaceDN w:val="0"/>
        <w:adjustRightInd w:val="0"/>
        <w:spacing w:after="0" w:line="240" w:lineRule="auto"/>
        <w:ind w:firstLine="540"/>
        <w:jc w:val="both"/>
        <w:rPr>
          <w:rFonts w:ascii="Arial" w:hAnsi="Arial" w:cs="Arial"/>
          <w:sz w:val="20"/>
          <w:szCs w:val="20"/>
        </w:rPr>
      </w:pPr>
    </w:p>
    <w:p w:rsidR="003362D6" w:rsidRDefault="003362D6" w:rsidP="003362D6">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ТРЕБОВАНИЯ К РЕЗУЛЬТАТАМ ОСВОЕНИЯ ПРОГРАММЫ МАГИСТРАТУРЫ</w:t>
      </w:r>
    </w:p>
    <w:p w:rsidR="003362D6" w:rsidRDefault="003362D6" w:rsidP="003362D6">
      <w:pPr>
        <w:autoSpaceDE w:val="0"/>
        <w:autoSpaceDN w:val="0"/>
        <w:adjustRightInd w:val="0"/>
        <w:spacing w:after="0" w:line="240" w:lineRule="auto"/>
        <w:jc w:val="center"/>
        <w:rPr>
          <w:rFonts w:ascii="Arial" w:hAnsi="Arial" w:cs="Arial"/>
          <w:sz w:val="20"/>
          <w:szCs w:val="20"/>
        </w:rPr>
      </w:pPr>
    </w:p>
    <w:p w:rsidR="003362D6" w:rsidRDefault="003362D6" w:rsidP="003362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Выпускник, освоивший программу магистратуры, должен обладать следующими общекультурными компетенциями: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абстрактному мышлению, анализу, синтезу (ОК-1);</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действовать в нестандартных ситуациях, нести социальную и этическую ответственность за принятые решения (ОК-2);</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к саморазвитию, самореализации, использованию творческого потенциала (ОК-3);</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самостоятельно приобретать, в том числе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(ОК-4).</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Выпускник, освоивший программу магистратуры, должен обладать следующими общепрофессиональными компетенциями: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(ОПК-1);</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 коммуникативными стратегиями и тактиками, риторическими, стилистическими и языковыми нормами и приемами, принятыми в разных сферах коммуникации (ОПК-2);</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демонстрировать знания современной научной парадигмы в области филологии и динамики ее развития, системы методологических принципов и методических приемов филологического исследования (ОПК-3);</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демонстрировать углубленные знания в избранной конкретной области филологии (ОПК-4).</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деятельность:</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навыками самостоятельного проведения научных исследований в области системы языка и основных закономерностей функционирования фольклора и литературы в синхроническом и диахроническом аспектах, в сфере устной, письменной и виртуальной коммуникации (ПК-1);</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навыками квалифицированного анализа, оценки, реферирования, оформления и продвижения результатов собственной научной деятельности (ПК-2);</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подготовки и редактирования научных публикаций (ПК-3);</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владением навыками участия в работе научных коллективов, проводящих филологические исследования (ПК-4);</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 деятельность:</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навыками планирования, организации и реализации образовательной деятельности по отдельным видам учебных занятий (лабораторные, практические и семинарские занятия) по филологическим дисциплинам (модулям) в образовательных организациях высшего образования (ПК-5);</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навыками разработки под руководством специалиста более высокой квалификации учебно-методического обеспечения, реализации учебных дисциплин (модулей) или отдельных видов учебных занятий программ бакалавриата и дополнительных профессиональных программ для лиц, имеющих или получающих соответствующую квалификацию (ПК-6);</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рецензирование и экспертиза научно-методических и учебно-методических материалов по филологическим дисциплинам (модулям) (ПК-7);</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участвовать в организации научно-исследовательской, проектной, учебно-профессиональной и иной деятельности обучающихся по программам бакалавриата и ДПО, в профориентационных мероприятиях со школьниками (ПК-8);</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педагогической поддержке профессионального самоопределения обучающихся по программам бакалавриата и ДПО (ПК-9);</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прикладная деятельность:</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созданию, редактированию, реферированию систематизированию и трансформации (например, изменению стиля, жанра, целевой принадлежности текста) всех типов текстов официально-делового и публицистического стиля (ПК-10);</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к планированию и осуществлению публичных выступлений, межличностной и массовой, в том числе межкультурной и межнациональной коммуникации с применением навыков ораторского искусства (ПК-11);</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навыками квалифицированного языкового сопровождения международных форумов и переговоров (ПК-12);</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проектная и организационно-управленческая деятельность:</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рационально использовать материальные, нематериальные и финансовые ресурсы для образовательной деятельности, выполнения научных исследований и проектных разработок в соответствии с направленностью (профилем) магистерской программы (ПК-13);</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соблюдать требования экологической и информационной безопасности при выполнении задач профессиональной деятельности в соответствии с профилем магистерской программы (ПК-14);</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организовывать работу профессионального коллектива, поддерживать эффективные взаимоотношения в профессиональном коллективе, обеспечивать безопасные условия труда (ПК-15).</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3362D6" w:rsidRDefault="003362D6" w:rsidP="003362D6">
      <w:pPr>
        <w:autoSpaceDE w:val="0"/>
        <w:autoSpaceDN w:val="0"/>
        <w:adjustRightInd w:val="0"/>
        <w:spacing w:after="0" w:line="240" w:lineRule="auto"/>
        <w:ind w:firstLine="540"/>
        <w:jc w:val="both"/>
        <w:rPr>
          <w:rFonts w:ascii="Arial" w:hAnsi="Arial" w:cs="Arial"/>
          <w:sz w:val="20"/>
          <w:szCs w:val="20"/>
        </w:rPr>
      </w:pPr>
    </w:p>
    <w:p w:rsidR="003362D6" w:rsidRDefault="003362D6" w:rsidP="003362D6">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ТРЕБОВАНИЯ К СТРУКТУРЕ ПРОГРАММЫ МАГИСТРАТУРЫ</w:t>
      </w:r>
    </w:p>
    <w:p w:rsidR="003362D6" w:rsidRDefault="003362D6" w:rsidP="003362D6">
      <w:pPr>
        <w:autoSpaceDE w:val="0"/>
        <w:autoSpaceDN w:val="0"/>
        <w:adjustRightInd w:val="0"/>
        <w:spacing w:after="0" w:line="240" w:lineRule="auto"/>
        <w:ind w:firstLine="540"/>
        <w:jc w:val="both"/>
        <w:rPr>
          <w:rFonts w:ascii="Arial" w:hAnsi="Arial" w:cs="Arial"/>
          <w:sz w:val="20"/>
          <w:szCs w:val="20"/>
        </w:rPr>
      </w:pPr>
    </w:p>
    <w:p w:rsidR="003362D6" w:rsidRDefault="003362D6" w:rsidP="003362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Программа магистратуры состоит из следующих блоков:</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hyperlink w:anchor="Par172" w:history="1">
        <w:r>
          <w:rPr>
            <w:rFonts w:ascii="Arial" w:hAnsi="Arial" w:cs="Arial"/>
            <w:color w:val="0000FF"/>
            <w:sz w:val="20"/>
            <w:szCs w:val="20"/>
          </w:rPr>
          <w:t>Блок 1</w:t>
        </w:r>
      </w:hyperlink>
      <w:r>
        <w:rPr>
          <w:rFonts w:ascii="Arial" w:hAnsi="Arial" w:cs="Arial"/>
          <w:sz w:val="20"/>
          <w:szCs w:val="20"/>
        </w:rP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hyperlink w:anchor="Par179" w:history="1">
        <w:r>
          <w:rPr>
            <w:rFonts w:ascii="Arial" w:hAnsi="Arial" w:cs="Arial"/>
            <w:color w:val="0000FF"/>
            <w:sz w:val="20"/>
            <w:szCs w:val="20"/>
          </w:rPr>
          <w:t>Блок 2</w:t>
        </w:r>
      </w:hyperlink>
      <w:r>
        <w:rPr>
          <w:rFonts w:ascii="Arial" w:hAnsi="Arial" w:cs="Arial"/>
          <w:sz w:val="20"/>
          <w:szCs w:val="20"/>
        </w:rPr>
        <w:t xml:space="preserve"> "Практики, в том числе научно-исследовательская работа (НИР)", который в полном объеме относится к вариативной части программы.</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hyperlink w:anchor="Par184" w:history="1">
        <w:r>
          <w:rPr>
            <w:rFonts w:ascii="Arial" w:hAnsi="Arial" w:cs="Arial"/>
            <w:color w:val="0000FF"/>
            <w:sz w:val="20"/>
            <w:szCs w:val="20"/>
          </w:rPr>
          <w:t>Блок 3</w:t>
        </w:r>
      </w:hyperlink>
      <w:r>
        <w:rPr>
          <w:rFonts w:ascii="Arial" w:hAnsi="Arial" w:cs="Arial"/>
          <w:sz w:val="20"/>
          <w:szCs w:val="20"/>
        </w:rP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&lt;1&gt;.</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9" w:history="1">
        <w:r>
          <w:rPr>
            <w:rFonts w:ascii="Arial" w:hAnsi="Arial" w:cs="Arial"/>
            <w:color w:val="0000FF"/>
            <w:sz w:val="20"/>
            <w:szCs w:val="20"/>
          </w:rPr>
          <w:t>Перечень</w:t>
        </w:r>
      </w:hyperlink>
      <w:r>
        <w:rPr>
          <w:rFonts w:ascii="Arial" w:hAnsi="Arial" w:cs="Arial"/>
          <w:sz w:val="20"/>
          <w:szCs w:val="20"/>
        </w:rPr>
        <w:t xml:space="preserve"> направлений подготовки высшего образования - магистратуры,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3362D6" w:rsidRDefault="003362D6" w:rsidP="003362D6">
      <w:pPr>
        <w:autoSpaceDE w:val="0"/>
        <w:autoSpaceDN w:val="0"/>
        <w:adjustRightInd w:val="0"/>
        <w:spacing w:after="0" w:line="240" w:lineRule="auto"/>
        <w:ind w:firstLine="540"/>
        <w:jc w:val="both"/>
        <w:rPr>
          <w:rFonts w:ascii="Arial" w:hAnsi="Arial" w:cs="Arial"/>
          <w:sz w:val="20"/>
          <w:szCs w:val="20"/>
        </w:rPr>
      </w:pPr>
    </w:p>
    <w:p w:rsidR="003362D6" w:rsidRDefault="003362D6" w:rsidP="003362D6">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Структура программы магистратуры</w:t>
      </w:r>
    </w:p>
    <w:p w:rsidR="003362D6" w:rsidRDefault="003362D6" w:rsidP="003362D6">
      <w:pPr>
        <w:autoSpaceDE w:val="0"/>
        <w:autoSpaceDN w:val="0"/>
        <w:adjustRightInd w:val="0"/>
        <w:spacing w:after="0" w:line="240" w:lineRule="auto"/>
        <w:ind w:firstLine="540"/>
        <w:jc w:val="both"/>
        <w:rPr>
          <w:rFonts w:ascii="Arial" w:hAnsi="Arial" w:cs="Arial"/>
          <w:sz w:val="20"/>
          <w:szCs w:val="20"/>
        </w:rPr>
      </w:pPr>
    </w:p>
    <w:p w:rsidR="003362D6" w:rsidRDefault="003362D6" w:rsidP="003362D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Таблица 1</w:t>
      </w:r>
    </w:p>
    <w:p w:rsidR="003362D6" w:rsidRDefault="003362D6" w:rsidP="003362D6">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2"/>
        <w:gridCol w:w="6658"/>
        <w:gridCol w:w="2160"/>
      </w:tblGrid>
      <w:tr w:rsidR="003362D6">
        <w:tc>
          <w:tcPr>
            <w:tcW w:w="7620" w:type="dxa"/>
            <w:gridSpan w:val="2"/>
            <w:tcBorders>
              <w:top w:val="single" w:sz="4" w:space="0" w:color="auto"/>
              <w:left w:val="single" w:sz="4" w:space="0" w:color="auto"/>
              <w:bottom w:val="single" w:sz="4" w:space="0" w:color="auto"/>
              <w:right w:val="single" w:sz="4" w:space="0" w:color="auto"/>
            </w:tcBorders>
          </w:tcPr>
          <w:p w:rsidR="003362D6" w:rsidRDefault="003362D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Структура программы магистратуры</w:t>
            </w:r>
          </w:p>
        </w:tc>
        <w:tc>
          <w:tcPr>
            <w:tcW w:w="2160" w:type="dxa"/>
            <w:tcBorders>
              <w:top w:val="single" w:sz="4" w:space="0" w:color="auto"/>
              <w:left w:val="single" w:sz="4" w:space="0" w:color="auto"/>
              <w:bottom w:val="single" w:sz="4" w:space="0" w:color="auto"/>
              <w:right w:val="single" w:sz="4" w:space="0" w:color="auto"/>
            </w:tcBorders>
          </w:tcPr>
          <w:p w:rsidR="003362D6" w:rsidRDefault="003362D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программы магистратуры в з.е.</w:t>
            </w:r>
          </w:p>
        </w:tc>
      </w:tr>
      <w:tr w:rsidR="003362D6">
        <w:tc>
          <w:tcPr>
            <w:tcW w:w="962" w:type="dxa"/>
            <w:vMerge w:val="restart"/>
            <w:tcBorders>
              <w:top w:val="single" w:sz="4" w:space="0" w:color="auto"/>
              <w:left w:val="single" w:sz="4" w:space="0" w:color="auto"/>
              <w:bottom w:val="single" w:sz="4" w:space="0" w:color="auto"/>
              <w:right w:val="single" w:sz="4" w:space="0" w:color="auto"/>
            </w:tcBorders>
          </w:tcPr>
          <w:p w:rsidR="003362D6" w:rsidRDefault="003362D6">
            <w:pPr>
              <w:autoSpaceDE w:val="0"/>
              <w:autoSpaceDN w:val="0"/>
              <w:adjustRightInd w:val="0"/>
              <w:spacing w:after="0" w:line="240" w:lineRule="auto"/>
              <w:rPr>
                <w:rFonts w:ascii="Arial" w:hAnsi="Arial" w:cs="Arial"/>
                <w:sz w:val="20"/>
                <w:szCs w:val="20"/>
              </w:rPr>
            </w:pPr>
            <w:bookmarkStart w:id="1" w:name="Par172"/>
            <w:bookmarkEnd w:id="1"/>
            <w:r>
              <w:rPr>
                <w:rFonts w:ascii="Arial" w:hAnsi="Arial" w:cs="Arial"/>
                <w:sz w:val="20"/>
                <w:szCs w:val="20"/>
              </w:rPr>
              <w:t>Блок 1</w:t>
            </w:r>
          </w:p>
        </w:tc>
        <w:tc>
          <w:tcPr>
            <w:tcW w:w="6658" w:type="dxa"/>
            <w:tcBorders>
              <w:top w:val="single" w:sz="4" w:space="0" w:color="auto"/>
              <w:left w:val="single" w:sz="4" w:space="0" w:color="auto"/>
              <w:bottom w:val="single" w:sz="4" w:space="0" w:color="auto"/>
              <w:right w:val="single" w:sz="4" w:space="0" w:color="auto"/>
            </w:tcBorders>
          </w:tcPr>
          <w:p w:rsidR="003362D6" w:rsidRDefault="003362D6">
            <w:pPr>
              <w:autoSpaceDE w:val="0"/>
              <w:autoSpaceDN w:val="0"/>
              <w:adjustRightInd w:val="0"/>
              <w:spacing w:after="0" w:line="240" w:lineRule="auto"/>
              <w:rPr>
                <w:rFonts w:ascii="Arial" w:hAnsi="Arial" w:cs="Arial"/>
                <w:sz w:val="20"/>
                <w:szCs w:val="20"/>
              </w:rPr>
            </w:pPr>
            <w:r>
              <w:rPr>
                <w:rFonts w:ascii="Arial" w:hAnsi="Arial" w:cs="Arial"/>
                <w:sz w:val="20"/>
                <w:szCs w:val="20"/>
              </w:rPr>
              <w:t>Дисциплины (модули)</w:t>
            </w:r>
          </w:p>
        </w:tc>
        <w:tc>
          <w:tcPr>
            <w:tcW w:w="2160" w:type="dxa"/>
            <w:tcBorders>
              <w:top w:val="single" w:sz="4" w:space="0" w:color="auto"/>
              <w:left w:val="single" w:sz="4" w:space="0" w:color="auto"/>
              <w:bottom w:val="single" w:sz="4" w:space="0" w:color="auto"/>
              <w:right w:val="single" w:sz="4" w:space="0" w:color="auto"/>
            </w:tcBorders>
          </w:tcPr>
          <w:p w:rsidR="003362D6" w:rsidRDefault="003362D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63 - 66</w:t>
            </w:r>
          </w:p>
        </w:tc>
      </w:tr>
      <w:tr w:rsidR="003362D6">
        <w:tc>
          <w:tcPr>
            <w:tcW w:w="962" w:type="dxa"/>
            <w:vMerge/>
            <w:tcBorders>
              <w:top w:val="single" w:sz="4" w:space="0" w:color="auto"/>
              <w:left w:val="single" w:sz="4" w:space="0" w:color="auto"/>
              <w:bottom w:val="single" w:sz="4" w:space="0" w:color="auto"/>
              <w:right w:val="single" w:sz="4" w:space="0" w:color="auto"/>
            </w:tcBorders>
          </w:tcPr>
          <w:p w:rsidR="003362D6" w:rsidRDefault="003362D6">
            <w:pPr>
              <w:autoSpaceDE w:val="0"/>
              <w:autoSpaceDN w:val="0"/>
              <w:adjustRightInd w:val="0"/>
              <w:spacing w:after="0" w:line="240" w:lineRule="auto"/>
              <w:ind w:firstLine="540"/>
              <w:jc w:val="both"/>
              <w:rPr>
                <w:rFonts w:ascii="Arial" w:hAnsi="Arial" w:cs="Arial"/>
                <w:sz w:val="20"/>
                <w:szCs w:val="20"/>
              </w:rPr>
            </w:pPr>
          </w:p>
        </w:tc>
        <w:tc>
          <w:tcPr>
            <w:tcW w:w="6658" w:type="dxa"/>
            <w:tcBorders>
              <w:top w:val="single" w:sz="4" w:space="0" w:color="auto"/>
              <w:left w:val="single" w:sz="4" w:space="0" w:color="auto"/>
              <w:bottom w:val="single" w:sz="4" w:space="0" w:color="auto"/>
              <w:right w:val="single" w:sz="4" w:space="0" w:color="auto"/>
            </w:tcBorders>
          </w:tcPr>
          <w:p w:rsidR="003362D6" w:rsidRDefault="003362D6">
            <w:pPr>
              <w:autoSpaceDE w:val="0"/>
              <w:autoSpaceDN w:val="0"/>
              <w:adjustRightInd w:val="0"/>
              <w:spacing w:after="0" w:line="240" w:lineRule="auto"/>
              <w:rPr>
                <w:rFonts w:ascii="Arial" w:hAnsi="Arial" w:cs="Arial"/>
                <w:sz w:val="20"/>
                <w:szCs w:val="20"/>
              </w:rPr>
            </w:pPr>
            <w:r>
              <w:rPr>
                <w:rFonts w:ascii="Arial" w:hAnsi="Arial" w:cs="Arial"/>
                <w:sz w:val="20"/>
                <w:szCs w:val="20"/>
              </w:rPr>
              <w:t>Базовая часть</w:t>
            </w:r>
          </w:p>
        </w:tc>
        <w:tc>
          <w:tcPr>
            <w:tcW w:w="2160" w:type="dxa"/>
            <w:tcBorders>
              <w:top w:val="single" w:sz="4" w:space="0" w:color="auto"/>
              <w:left w:val="single" w:sz="4" w:space="0" w:color="auto"/>
              <w:bottom w:val="single" w:sz="4" w:space="0" w:color="auto"/>
              <w:right w:val="single" w:sz="4" w:space="0" w:color="auto"/>
            </w:tcBorders>
          </w:tcPr>
          <w:p w:rsidR="003362D6" w:rsidRDefault="003362D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9 - 12</w:t>
            </w:r>
          </w:p>
        </w:tc>
      </w:tr>
      <w:tr w:rsidR="003362D6">
        <w:tc>
          <w:tcPr>
            <w:tcW w:w="962" w:type="dxa"/>
            <w:vMerge/>
            <w:tcBorders>
              <w:top w:val="single" w:sz="4" w:space="0" w:color="auto"/>
              <w:left w:val="single" w:sz="4" w:space="0" w:color="auto"/>
              <w:bottom w:val="single" w:sz="4" w:space="0" w:color="auto"/>
              <w:right w:val="single" w:sz="4" w:space="0" w:color="auto"/>
            </w:tcBorders>
          </w:tcPr>
          <w:p w:rsidR="003362D6" w:rsidRDefault="003362D6">
            <w:pPr>
              <w:autoSpaceDE w:val="0"/>
              <w:autoSpaceDN w:val="0"/>
              <w:adjustRightInd w:val="0"/>
              <w:spacing w:after="0" w:line="240" w:lineRule="auto"/>
              <w:ind w:firstLine="540"/>
              <w:jc w:val="both"/>
              <w:rPr>
                <w:rFonts w:ascii="Arial" w:hAnsi="Arial" w:cs="Arial"/>
                <w:sz w:val="20"/>
                <w:szCs w:val="20"/>
              </w:rPr>
            </w:pPr>
          </w:p>
        </w:tc>
        <w:tc>
          <w:tcPr>
            <w:tcW w:w="6658" w:type="dxa"/>
            <w:tcBorders>
              <w:top w:val="single" w:sz="4" w:space="0" w:color="auto"/>
              <w:left w:val="single" w:sz="4" w:space="0" w:color="auto"/>
              <w:bottom w:val="single" w:sz="4" w:space="0" w:color="auto"/>
              <w:right w:val="single" w:sz="4" w:space="0" w:color="auto"/>
            </w:tcBorders>
          </w:tcPr>
          <w:p w:rsidR="003362D6" w:rsidRDefault="003362D6">
            <w:pPr>
              <w:autoSpaceDE w:val="0"/>
              <w:autoSpaceDN w:val="0"/>
              <w:adjustRightInd w:val="0"/>
              <w:spacing w:after="0" w:line="240" w:lineRule="auto"/>
              <w:rPr>
                <w:rFonts w:ascii="Arial" w:hAnsi="Arial" w:cs="Arial"/>
                <w:sz w:val="20"/>
                <w:szCs w:val="20"/>
              </w:rPr>
            </w:pPr>
            <w:bookmarkStart w:id="2" w:name="Par177"/>
            <w:bookmarkEnd w:id="2"/>
            <w:r>
              <w:rPr>
                <w:rFonts w:ascii="Arial" w:hAnsi="Arial" w:cs="Arial"/>
                <w:sz w:val="20"/>
                <w:szCs w:val="20"/>
              </w:rPr>
              <w:t>Вариативная часть</w:t>
            </w:r>
          </w:p>
        </w:tc>
        <w:tc>
          <w:tcPr>
            <w:tcW w:w="2160" w:type="dxa"/>
            <w:tcBorders>
              <w:top w:val="single" w:sz="4" w:space="0" w:color="auto"/>
              <w:left w:val="single" w:sz="4" w:space="0" w:color="auto"/>
              <w:bottom w:val="single" w:sz="4" w:space="0" w:color="auto"/>
              <w:right w:val="single" w:sz="4" w:space="0" w:color="auto"/>
            </w:tcBorders>
          </w:tcPr>
          <w:p w:rsidR="003362D6" w:rsidRDefault="003362D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51 - 57</w:t>
            </w:r>
          </w:p>
        </w:tc>
      </w:tr>
      <w:tr w:rsidR="003362D6">
        <w:tc>
          <w:tcPr>
            <w:tcW w:w="962" w:type="dxa"/>
            <w:vMerge w:val="restart"/>
            <w:tcBorders>
              <w:top w:val="single" w:sz="4" w:space="0" w:color="auto"/>
              <w:left w:val="single" w:sz="4" w:space="0" w:color="auto"/>
              <w:bottom w:val="single" w:sz="4" w:space="0" w:color="auto"/>
              <w:right w:val="single" w:sz="4" w:space="0" w:color="auto"/>
            </w:tcBorders>
          </w:tcPr>
          <w:p w:rsidR="003362D6" w:rsidRDefault="003362D6">
            <w:pPr>
              <w:autoSpaceDE w:val="0"/>
              <w:autoSpaceDN w:val="0"/>
              <w:adjustRightInd w:val="0"/>
              <w:spacing w:after="0" w:line="240" w:lineRule="auto"/>
              <w:rPr>
                <w:rFonts w:ascii="Arial" w:hAnsi="Arial" w:cs="Arial"/>
                <w:sz w:val="20"/>
                <w:szCs w:val="20"/>
              </w:rPr>
            </w:pPr>
            <w:bookmarkStart w:id="3" w:name="Par179"/>
            <w:bookmarkEnd w:id="3"/>
            <w:r>
              <w:rPr>
                <w:rFonts w:ascii="Arial" w:hAnsi="Arial" w:cs="Arial"/>
                <w:sz w:val="20"/>
                <w:szCs w:val="20"/>
              </w:rPr>
              <w:t>Блок 2</w:t>
            </w:r>
          </w:p>
        </w:tc>
        <w:tc>
          <w:tcPr>
            <w:tcW w:w="6658" w:type="dxa"/>
            <w:tcBorders>
              <w:top w:val="single" w:sz="4" w:space="0" w:color="auto"/>
              <w:left w:val="single" w:sz="4" w:space="0" w:color="auto"/>
              <w:bottom w:val="single" w:sz="4" w:space="0" w:color="auto"/>
              <w:right w:val="single" w:sz="4" w:space="0" w:color="auto"/>
            </w:tcBorders>
          </w:tcPr>
          <w:p w:rsidR="003362D6" w:rsidRDefault="003362D6">
            <w:pPr>
              <w:autoSpaceDE w:val="0"/>
              <w:autoSpaceDN w:val="0"/>
              <w:adjustRightInd w:val="0"/>
              <w:spacing w:after="0" w:line="240" w:lineRule="auto"/>
              <w:rPr>
                <w:rFonts w:ascii="Arial" w:hAnsi="Arial" w:cs="Arial"/>
                <w:sz w:val="20"/>
                <w:szCs w:val="20"/>
              </w:rPr>
            </w:pPr>
            <w:r>
              <w:rPr>
                <w:rFonts w:ascii="Arial" w:hAnsi="Arial" w:cs="Arial"/>
                <w:sz w:val="20"/>
                <w:szCs w:val="20"/>
              </w:rPr>
              <w:t>Практики, в том числе научно-исследовательская работа (НИР)</w:t>
            </w:r>
          </w:p>
        </w:tc>
        <w:tc>
          <w:tcPr>
            <w:tcW w:w="2160" w:type="dxa"/>
            <w:tcBorders>
              <w:top w:val="single" w:sz="4" w:space="0" w:color="auto"/>
              <w:left w:val="single" w:sz="4" w:space="0" w:color="auto"/>
              <w:bottom w:val="single" w:sz="4" w:space="0" w:color="auto"/>
              <w:right w:val="single" w:sz="4" w:space="0" w:color="auto"/>
            </w:tcBorders>
          </w:tcPr>
          <w:p w:rsidR="003362D6" w:rsidRDefault="003362D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45 - 51</w:t>
            </w:r>
          </w:p>
        </w:tc>
      </w:tr>
      <w:tr w:rsidR="003362D6">
        <w:tc>
          <w:tcPr>
            <w:tcW w:w="962" w:type="dxa"/>
            <w:vMerge/>
            <w:tcBorders>
              <w:top w:val="single" w:sz="4" w:space="0" w:color="auto"/>
              <w:left w:val="single" w:sz="4" w:space="0" w:color="auto"/>
              <w:bottom w:val="single" w:sz="4" w:space="0" w:color="auto"/>
              <w:right w:val="single" w:sz="4" w:space="0" w:color="auto"/>
            </w:tcBorders>
          </w:tcPr>
          <w:p w:rsidR="003362D6" w:rsidRDefault="003362D6">
            <w:pPr>
              <w:autoSpaceDE w:val="0"/>
              <w:autoSpaceDN w:val="0"/>
              <w:adjustRightInd w:val="0"/>
              <w:spacing w:after="0" w:line="240" w:lineRule="auto"/>
              <w:ind w:firstLine="540"/>
              <w:jc w:val="both"/>
              <w:rPr>
                <w:rFonts w:ascii="Arial" w:hAnsi="Arial" w:cs="Arial"/>
                <w:sz w:val="20"/>
                <w:szCs w:val="20"/>
              </w:rPr>
            </w:pPr>
          </w:p>
        </w:tc>
        <w:tc>
          <w:tcPr>
            <w:tcW w:w="6658" w:type="dxa"/>
            <w:tcBorders>
              <w:top w:val="single" w:sz="4" w:space="0" w:color="auto"/>
              <w:left w:val="single" w:sz="4" w:space="0" w:color="auto"/>
              <w:bottom w:val="single" w:sz="4" w:space="0" w:color="auto"/>
              <w:right w:val="single" w:sz="4" w:space="0" w:color="auto"/>
            </w:tcBorders>
          </w:tcPr>
          <w:p w:rsidR="003362D6" w:rsidRDefault="003362D6">
            <w:pPr>
              <w:autoSpaceDE w:val="0"/>
              <w:autoSpaceDN w:val="0"/>
              <w:adjustRightInd w:val="0"/>
              <w:spacing w:after="0" w:line="240" w:lineRule="auto"/>
              <w:rPr>
                <w:rFonts w:ascii="Arial" w:hAnsi="Arial" w:cs="Arial"/>
                <w:sz w:val="20"/>
                <w:szCs w:val="20"/>
              </w:rPr>
            </w:pPr>
            <w:bookmarkStart w:id="4" w:name="Par182"/>
            <w:bookmarkEnd w:id="4"/>
            <w:r>
              <w:rPr>
                <w:rFonts w:ascii="Arial" w:hAnsi="Arial" w:cs="Arial"/>
                <w:sz w:val="20"/>
                <w:szCs w:val="20"/>
              </w:rPr>
              <w:t>Вариативная часть</w:t>
            </w:r>
          </w:p>
        </w:tc>
        <w:tc>
          <w:tcPr>
            <w:tcW w:w="2160" w:type="dxa"/>
            <w:tcBorders>
              <w:top w:val="single" w:sz="4" w:space="0" w:color="auto"/>
              <w:left w:val="single" w:sz="4" w:space="0" w:color="auto"/>
              <w:bottom w:val="single" w:sz="4" w:space="0" w:color="auto"/>
              <w:right w:val="single" w:sz="4" w:space="0" w:color="auto"/>
            </w:tcBorders>
          </w:tcPr>
          <w:p w:rsidR="003362D6" w:rsidRDefault="003362D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45 - 51</w:t>
            </w:r>
          </w:p>
        </w:tc>
      </w:tr>
      <w:tr w:rsidR="003362D6">
        <w:tc>
          <w:tcPr>
            <w:tcW w:w="962" w:type="dxa"/>
            <w:vMerge w:val="restart"/>
            <w:tcBorders>
              <w:top w:val="single" w:sz="4" w:space="0" w:color="auto"/>
              <w:left w:val="single" w:sz="4" w:space="0" w:color="auto"/>
              <w:bottom w:val="single" w:sz="4" w:space="0" w:color="auto"/>
              <w:right w:val="single" w:sz="4" w:space="0" w:color="auto"/>
            </w:tcBorders>
          </w:tcPr>
          <w:p w:rsidR="003362D6" w:rsidRDefault="003362D6">
            <w:pPr>
              <w:autoSpaceDE w:val="0"/>
              <w:autoSpaceDN w:val="0"/>
              <w:adjustRightInd w:val="0"/>
              <w:spacing w:after="0" w:line="240" w:lineRule="auto"/>
              <w:rPr>
                <w:rFonts w:ascii="Arial" w:hAnsi="Arial" w:cs="Arial"/>
                <w:sz w:val="20"/>
                <w:szCs w:val="20"/>
              </w:rPr>
            </w:pPr>
            <w:bookmarkStart w:id="5" w:name="Par184"/>
            <w:bookmarkEnd w:id="5"/>
            <w:r>
              <w:rPr>
                <w:rFonts w:ascii="Arial" w:hAnsi="Arial" w:cs="Arial"/>
                <w:sz w:val="20"/>
                <w:szCs w:val="20"/>
              </w:rPr>
              <w:t>Блок 3</w:t>
            </w:r>
          </w:p>
        </w:tc>
        <w:tc>
          <w:tcPr>
            <w:tcW w:w="6658" w:type="dxa"/>
            <w:tcBorders>
              <w:top w:val="single" w:sz="4" w:space="0" w:color="auto"/>
              <w:left w:val="single" w:sz="4" w:space="0" w:color="auto"/>
              <w:bottom w:val="single" w:sz="4" w:space="0" w:color="auto"/>
              <w:right w:val="single" w:sz="4" w:space="0" w:color="auto"/>
            </w:tcBorders>
          </w:tcPr>
          <w:p w:rsidR="003362D6" w:rsidRDefault="003362D6">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Государственная итоговая аттестация</w:t>
            </w:r>
          </w:p>
        </w:tc>
        <w:tc>
          <w:tcPr>
            <w:tcW w:w="2160" w:type="dxa"/>
            <w:tcBorders>
              <w:top w:val="single" w:sz="4" w:space="0" w:color="auto"/>
              <w:left w:val="single" w:sz="4" w:space="0" w:color="auto"/>
              <w:bottom w:val="single" w:sz="4" w:space="0" w:color="auto"/>
              <w:right w:val="single" w:sz="4" w:space="0" w:color="auto"/>
            </w:tcBorders>
          </w:tcPr>
          <w:p w:rsidR="003362D6" w:rsidRDefault="003362D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r>
      <w:tr w:rsidR="003362D6">
        <w:tc>
          <w:tcPr>
            <w:tcW w:w="962" w:type="dxa"/>
            <w:vMerge/>
            <w:tcBorders>
              <w:top w:val="single" w:sz="4" w:space="0" w:color="auto"/>
              <w:left w:val="single" w:sz="4" w:space="0" w:color="auto"/>
              <w:bottom w:val="single" w:sz="4" w:space="0" w:color="auto"/>
              <w:right w:val="single" w:sz="4" w:space="0" w:color="auto"/>
            </w:tcBorders>
          </w:tcPr>
          <w:p w:rsidR="003362D6" w:rsidRDefault="003362D6">
            <w:pPr>
              <w:autoSpaceDE w:val="0"/>
              <w:autoSpaceDN w:val="0"/>
              <w:adjustRightInd w:val="0"/>
              <w:spacing w:after="0" w:line="240" w:lineRule="auto"/>
              <w:ind w:firstLine="540"/>
              <w:jc w:val="both"/>
              <w:rPr>
                <w:rFonts w:ascii="Arial" w:hAnsi="Arial" w:cs="Arial"/>
                <w:sz w:val="20"/>
                <w:szCs w:val="20"/>
              </w:rPr>
            </w:pPr>
          </w:p>
        </w:tc>
        <w:tc>
          <w:tcPr>
            <w:tcW w:w="6658" w:type="dxa"/>
            <w:tcBorders>
              <w:top w:val="single" w:sz="4" w:space="0" w:color="auto"/>
              <w:left w:val="single" w:sz="4" w:space="0" w:color="auto"/>
              <w:bottom w:val="single" w:sz="4" w:space="0" w:color="auto"/>
              <w:right w:val="single" w:sz="4" w:space="0" w:color="auto"/>
            </w:tcBorders>
          </w:tcPr>
          <w:p w:rsidR="003362D6" w:rsidRDefault="003362D6">
            <w:pPr>
              <w:autoSpaceDE w:val="0"/>
              <w:autoSpaceDN w:val="0"/>
              <w:adjustRightInd w:val="0"/>
              <w:spacing w:after="0" w:line="240" w:lineRule="auto"/>
              <w:rPr>
                <w:rFonts w:ascii="Arial" w:hAnsi="Arial" w:cs="Arial"/>
                <w:sz w:val="20"/>
                <w:szCs w:val="20"/>
              </w:rPr>
            </w:pPr>
            <w:r>
              <w:rPr>
                <w:rFonts w:ascii="Arial" w:hAnsi="Arial" w:cs="Arial"/>
                <w:sz w:val="20"/>
                <w:szCs w:val="20"/>
              </w:rPr>
              <w:t>Базовая часть</w:t>
            </w:r>
          </w:p>
        </w:tc>
        <w:tc>
          <w:tcPr>
            <w:tcW w:w="2160" w:type="dxa"/>
            <w:tcBorders>
              <w:top w:val="single" w:sz="4" w:space="0" w:color="auto"/>
              <w:left w:val="single" w:sz="4" w:space="0" w:color="auto"/>
              <w:bottom w:val="single" w:sz="4" w:space="0" w:color="auto"/>
              <w:right w:val="single" w:sz="4" w:space="0" w:color="auto"/>
            </w:tcBorders>
          </w:tcPr>
          <w:p w:rsidR="003362D6" w:rsidRDefault="003362D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r>
      <w:tr w:rsidR="003362D6">
        <w:tc>
          <w:tcPr>
            <w:tcW w:w="7620" w:type="dxa"/>
            <w:gridSpan w:val="2"/>
            <w:tcBorders>
              <w:top w:val="single" w:sz="4" w:space="0" w:color="auto"/>
              <w:left w:val="single" w:sz="4" w:space="0" w:color="auto"/>
              <w:bottom w:val="single" w:sz="4" w:space="0" w:color="auto"/>
              <w:right w:val="single" w:sz="4" w:space="0" w:color="auto"/>
            </w:tcBorders>
          </w:tcPr>
          <w:p w:rsidR="003362D6" w:rsidRDefault="003362D6">
            <w:pPr>
              <w:autoSpaceDE w:val="0"/>
              <w:autoSpaceDN w:val="0"/>
              <w:adjustRightInd w:val="0"/>
              <w:spacing w:after="0" w:line="240" w:lineRule="auto"/>
              <w:rPr>
                <w:rFonts w:ascii="Arial" w:hAnsi="Arial" w:cs="Arial"/>
                <w:sz w:val="20"/>
                <w:szCs w:val="20"/>
              </w:rPr>
            </w:pPr>
            <w:r>
              <w:rPr>
                <w:rFonts w:ascii="Arial" w:hAnsi="Arial" w:cs="Arial"/>
                <w:sz w:val="20"/>
                <w:szCs w:val="20"/>
              </w:rPr>
              <w:t>Объем программы магистратуры</w:t>
            </w:r>
          </w:p>
        </w:tc>
        <w:tc>
          <w:tcPr>
            <w:tcW w:w="2160" w:type="dxa"/>
            <w:tcBorders>
              <w:top w:val="single" w:sz="4" w:space="0" w:color="auto"/>
              <w:left w:val="single" w:sz="4" w:space="0" w:color="auto"/>
              <w:bottom w:val="single" w:sz="4" w:space="0" w:color="auto"/>
              <w:right w:val="single" w:sz="4" w:space="0" w:color="auto"/>
            </w:tcBorders>
          </w:tcPr>
          <w:p w:rsidR="003362D6" w:rsidRDefault="003362D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w:t>
            </w:r>
          </w:p>
        </w:tc>
      </w:tr>
    </w:tbl>
    <w:p w:rsidR="003362D6" w:rsidRDefault="003362D6" w:rsidP="003362D6">
      <w:pPr>
        <w:autoSpaceDE w:val="0"/>
        <w:autoSpaceDN w:val="0"/>
        <w:adjustRightInd w:val="0"/>
        <w:spacing w:after="0" w:line="240" w:lineRule="auto"/>
        <w:ind w:firstLine="540"/>
        <w:jc w:val="both"/>
        <w:rPr>
          <w:rFonts w:ascii="Arial" w:hAnsi="Arial" w:cs="Arial"/>
          <w:sz w:val="20"/>
          <w:szCs w:val="20"/>
        </w:rPr>
      </w:pPr>
    </w:p>
    <w:p w:rsidR="003362D6" w:rsidRDefault="003362D6" w:rsidP="003362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w:t>
      </w:r>
      <w:r>
        <w:rPr>
          <w:rFonts w:ascii="Arial" w:hAnsi="Arial" w:cs="Arial"/>
          <w:sz w:val="20"/>
          <w:szCs w:val="20"/>
        </w:rPr>
        <w:lastRenderedPageBreak/>
        <w:t>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w:t>
      </w:r>
      <w:hyperlink w:anchor="Par177" w:history="1">
        <w:r>
          <w:rPr>
            <w:rFonts w:ascii="Arial" w:hAnsi="Arial" w:cs="Arial"/>
            <w:color w:val="0000FF"/>
            <w:sz w:val="20"/>
            <w:szCs w:val="20"/>
          </w:rPr>
          <w:t>Блока 1</w:t>
        </w:r>
      </w:hyperlink>
      <w:r>
        <w:rPr>
          <w:rFonts w:ascii="Arial" w:hAnsi="Arial" w:cs="Arial"/>
          <w:sz w:val="20"/>
          <w:szCs w:val="20"/>
        </w:rPr>
        <w:t xml:space="preserve"> "Дисциплины (модули)" и </w:t>
      </w:r>
      <w:hyperlink w:anchor="Par182" w:history="1">
        <w:r>
          <w:rPr>
            <w:rFonts w:ascii="Arial" w:hAnsi="Arial" w:cs="Arial"/>
            <w:color w:val="0000FF"/>
            <w:sz w:val="20"/>
            <w:szCs w:val="20"/>
          </w:rPr>
          <w:t>Блока 2</w:t>
        </w:r>
      </w:hyperlink>
      <w:r>
        <w:rPr>
          <w:rFonts w:ascii="Arial" w:hAnsi="Arial" w:cs="Arial"/>
          <w:sz w:val="20"/>
          <w:szCs w:val="20"/>
        </w:rPr>
        <w:t xml:space="preserve">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6.5. В </w:t>
      </w:r>
      <w:hyperlink w:anchor="Par179" w:history="1">
        <w:r>
          <w:rPr>
            <w:rFonts w:ascii="Arial" w:hAnsi="Arial" w:cs="Arial"/>
            <w:color w:val="0000FF"/>
            <w:sz w:val="20"/>
            <w:szCs w:val="20"/>
          </w:rPr>
          <w:t>Блок 2</w:t>
        </w:r>
      </w:hyperlink>
      <w:r>
        <w:rPr>
          <w:rFonts w:ascii="Arial" w:hAnsi="Arial" w:cs="Arial"/>
          <w:sz w:val="20"/>
          <w:szCs w:val="20"/>
        </w:rPr>
        <w:t xml:space="preserve"> "Практики, в том числе научно-исследовательская работа (НИР)" входят учебная и производственная, в том числе преддипломная практики.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Типы учебной практики: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практика по получению первичных профессиональных умений и навыков.</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Типы производственной практики: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практика по получению профессиональных умений и опыта профессиональной деятельности;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НИР.</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Способы проведения учебной и производственной практик:</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стационарная;</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Преддипломная практика проводится для выполнения выпускной квалификационной работы и является обязательной.</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Учебная и (или) производственная практики могут проводиться в структурных подразделениях организации.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6.6. В </w:t>
      </w:r>
      <w:hyperlink w:anchor="Par184" w:history="1">
        <w:r>
          <w:rPr>
            <w:rFonts w:ascii="Arial" w:hAnsi="Arial" w:cs="Arial"/>
            <w:color w:val="0000FF"/>
            <w:sz w:val="20"/>
            <w:szCs w:val="20"/>
          </w:rPr>
          <w:t>Блок 3</w:t>
        </w:r>
      </w:hyperlink>
      <w:r>
        <w:rPr>
          <w:rFonts w:ascii="Arial" w:hAnsi="Arial" w:cs="Arial"/>
          <w:sz w:val="20"/>
          <w:szCs w:val="20"/>
        </w:rPr>
        <w:t xml:space="preserve">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части </w:t>
      </w:r>
      <w:hyperlink w:anchor="Par177" w:history="1">
        <w:r>
          <w:rPr>
            <w:rFonts w:ascii="Arial" w:hAnsi="Arial" w:cs="Arial"/>
            <w:color w:val="0000FF"/>
            <w:sz w:val="20"/>
            <w:szCs w:val="20"/>
          </w:rPr>
          <w:t>Блока 1</w:t>
        </w:r>
      </w:hyperlink>
      <w:r>
        <w:rPr>
          <w:rFonts w:ascii="Arial" w:hAnsi="Arial" w:cs="Arial"/>
          <w:sz w:val="20"/>
          <w:szCs w:val="20"/>
        </w:rPr>
        <w:t xml:space="preserve"> "Дисциплины (модули)".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6.8. Количество часов, отведенных на занятия лекционного типа, в целом по </w:t>
      </w:r>
      <w:hyperlink w:anchor="Par172" w:history="1">
        <w:r>
          <w:rPr>
            <w:rFonts w:ascii="Arial" w:hAnsi="Arial" w:cs="Arial"/>
            <w:color w:val="0000FF"/>
            <w:sz w:val="20"/>
            <w:szCs w:val="20"/>
          </w:rPr>
          <w:t>Блоку 1</w:t>
        </w:r>
      </w:hyperlink>
      <w:r>
        <w:rPr>
          <w:rFonts w:ascii="Arial" w:hAnsi="Arial" w:cs="Arial"/>
          <w:sz w:val="20"/>
          <w:szCs w:val="20"/>
        </w:rPr>
        <w:t xml:space="preserve"> "Дисциплины (модули)" должно составлять не более 40 процентов от общего количества часов аудиторных занятий, отведенных на реализацию этого </w:t>
      </w:r>
      <w:hyperlink w:anchor="Par172" w:history="1">
        <w:r>
          <w:rPr>
            <w:rFonts w:ascii="Arial" w:hAnsi="Arial" w:cs="Arial"/>
            <w:color w:val="0000FF"/>
            <w:sz w:val="20"/>
            <w:szCs w:val="20"/>
          </w:rPr>
          <w:t>Блока</w:t>
        </w:r>
      </w:hyperlink>
      <w:r>
        <w:rPr>
          <w:rFonts w:ascii="Arial" w:hAnsi="Arial" w:cs="Arial"/>
          <w:sz w:val="20"/>
          <w:szCs w:val="20"/>
        </w:rPr>
        <w:t>.</w:t>
      </w:r>
    </w:p>
    <w:p w:rsidR="003362D6" w:rsidRDefault="003362D6" w:rsidP="003362D6">
      <w:pPr>
        <w:autoSpaceDE w:val="0"/>
        <w:autoSpaceDN w:val="0"/>
        <w:adjustRightInd w:val="0"/>
        <w:spacing w:after="0" w:line="240" w:lineRule="auto"/>
        <w:ind w:firstLine="540"/>
        <w:jc w:val="both"/>
        <w:rPr>
          <w:rFonts w:ascii="Arial" w:hAnsi="Arial" w:cs="Arial"/>
          <w:sz w:val="20"/>
          <w:szCs w:val="20"/>
        </w:rPr>
      </w:pPr>
    </w:p>
    <w:p w:rsidR="003362D6" w:rsidRDefault="003362D6" w:rsidP="003362D6">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VII. ТРЕБОВАНИЯ К УСЛОВИЯМ РЕАЛИЗАЦИИ</w:t>
      </w:r>
    </w:p>
    <w:p w:rsidR="003362D6" w:rsidRDefault="003362D6" w:rsidP="003362D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ПРОГРАММЫ МАГИСТРАТУРЫ</w:t>
      </w:r>
    </w:p>
    <w:p w:rsidR="003362D6" w:rsidRDefault="003362D6" w:rsidP="003362D6">
      <w:pPr>
        <w:autoSpaceDE w:val="0"/>
        <w:autoSpaceDN w:val="0"/>
        <w:adjustRightInd w:val="0"/>
        <w:spacing w:after="0" w:line="240" w:lineRule="auto"/>
        <w:ind w:firstLine="540"/>
        <w:jc w:val="both"/>
        <w:rPr>
          <w:rFonts w:ascii="Arial" w:hAnsi="Arial" w:cs="Arial"/>
          <w:sz w:val="20"/>
          <w:szCs w:val="20"/>
        </w:rPr>
      </w:pPr>
    </w:p>
    <w:p w:rsidR="003362D6" w:rsidRDefault="003362D6" w:rsidP="003362D6">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lastRenderedPageBreak/>
        <w:t>7.1. Общесистемные требования к реализации программы магистратуры.</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Электронная информационно-образовательная среда организации должна обеспечивать:</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Федеральный </w:t>
      </w:r>
      <w:hyperlink r:id="rId10" w:history="1">
        <w:r>
          <w:rPr>
            <w:rFonts w:ascii="Arial" w:hAnsi="Arial" w:cs="Arial"/>
            <w:color w:val="0000FF"/>
            <w:sz w:val="20"/>
            <w:szCs w:val="20"/>
          </w:rPr>
          <w:t>закон</w:t>
        </w:r>
      </w:hyperlink>
      <w:r>
        <w:rPr>
          <w:rFonts w:ascii="Arial" w:hAnsi="Arial" w:cs="Arial"/>
          <w:sz w:val="20"/>
          <w:szCs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1" w:history="1">
        <w:r>
          <w:rPr>
            <w:rFonts w:ascii="Arial" w:hAnsi="Arial" w:cs="Arial"/>
            <w:color w:val="0000FF"/>
            <w:sz w:val="20"/>
            <w:szCs w:val="20"/>
          </w:rPr>
          <w:t>закон</w:t>
        </w:r>
      </w:hyperlink>
      <w:r>
        <w:rPr>
          <w:rFonts w:ascii="Arial" w:hAnsi="Arial" w:cs="Arial"/>
          <w:sz w:val="20"/>
          <w:szCs w:val="20"/>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3362D6" w:rsidRDefault="003362D6" w:rsidP="003362D6">
      <w:pPr>
        <w:autoSpaceDE w:val="0"/>
        <w:autoSpaceDN w:val="0"/>
        <w:adjustRightInd w:val="0"/>
        <w:spacing w:after="0" w:line="240" w:lineRule="auto"/>
        <w:ind w:firstLine="540"/>
        <w:jc w:val="both"/>
        <w:rPr>
          <w:rFonts w:ascii="Arial" w:hAnsi="Arial" w:cs="Arial"/>
          <w:sz w:val="20"/>
          <w:szCs w:val="20"/>
        </w:rPr>
      </w:pPr>
    </w:p>
    <w:p w:rsidR="003362D6" w:rsidRDefault="003362D6" w:rsidP="003362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2" w:history="1">
        <w:r>
          <w:rPr>
            <w:rFonts w:ascii="Arial" w:hAnsi="Arial" w:cs="Arial"/>
            <w:color w:val="0000FF"/>
            <w:sz w:val="20"/>
            <w:szCs w:val="20"/>
          </w:rPr>
          <w:t>разделе</w:t>
        </w:r>
      </w:hyperlink>
      <w:r>
        <w:rPr>
          <w:rFonts w:ascii="Arial" w:hAnsi="Arial" w:cs="Arial"/>
          <w:sz w:val="20"/>
          <w:szCs w:val="20"/>
        </w:rPr>
        <w:t xml:space="preserve"> "Квалификационные характеристики должностей руководителей и специалистов высшего профессионального и </w:t>
      </w:r>
      <w:r>
        <w:rPr>
          <w:rFonts w:ascii="Arial" w:hAnsi="Arial" w:cs="Arial"/>
          <w:sz w:val="20"/>
          <w:szCs w:val="20"/>
        </w:rPr>
        <w:lastRenderedPageBreak/>
        <w:t>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 не менее 20 в журналах, индексируемых в Российском индексе научного цитирования.</w:t>
      </w:r>
    </w:p>
    <w:p w:rsidR="003362D6" w:rsidRDefault="003362D6" w:rsidP="003362D6">
      <w:pPr>
        <w:autoSpaceDE w:val="0"/>
        <w:autoSpaceDN w:val="0"/>
        <w:adjustRightInd w:val="0"/>
        <w:spacing w:after="0" w:line="240" w:lineRule="auto"/>
        <w:ind w:firstLine="540"/>
        <w:jc w:val="both"/>
        <w:rPr>
          <w:rFonts w:ascii="Arial" w:hAnsi="Arial" w:cs="Arial"/>
          <w:sz w:val="20"/>
          <w:szCs w:val="20"/>
        </w:rPr>
      </w:pPr>
    </w:p>
    <w:p w:rsidR="003362D6" w:rsidRDefault="003362D6" w:rsidP="003362D6">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7.2. Требования к кадровым условиям реализации программы магистратуры.</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80 процентов для программы академической магистратуры;</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70 процентов для программы прикладной магистратуры.</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процентов для программы академической магистратуры;</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процентов для программы прикладной магистратуры.</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3362D6" w:rsidRDefault="003362D6" w:rsidP="003362D6">
      <w:pPr>
        <w:autoSpaceDE w:val="0"/>
        <w:autoSpaceDN w:val="0"/>
        <w:adjustRightInd w:val="0"/>
        <w:spacing w:after="0" w:line="240" w:lineRule="auto"/>
        <w:ind w:firstLine="540"/>
        <w:jc w:val="both"/>
        <w:rPr>
          <w:rFonts w:ascii="Arial" w:hAnsi="Arial" w:cs="Arial"/>
          <w:sz w:val="20"/>
          <w:szCs w:val="20"/>
        </w:rPr>
      </w:pPr>
    </w:p>
    <w:p w:rsidR="003362D6" w:rsidRDefault="003362D6" w:rsidP="003362D6">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7.3. Требования к материально-техническому и учебно-методическому обеспечению программ магистратуры.</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w:t>
      </w:r>
      <w:r>
        <w:rPr>
          <w:rFonts w:ascii="Arial" w:hAnsi="Arial" w:cs="Arial"/>
          <w:sz w:val="20"/>
          <w:szCs w:val="20"/>
        </w:rPr>
        <w:lastRenderedPageBreak/>
        <w:t>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3362D6" w:rsidRDefault="003362D6" w:rsidP="003362D6">
      <w:pPr>
        <w:autoSpaceDE w:val="0"/>
        <w:autoSpaceDN w:val="0"/>
        <w:adjustRightInd w:val="0"/>
        <w:spacing w:after="0" w:line="240" w:lineRule="auto"/>
        <w:ind w:firstLine="540"/>
        <w:jc w:val="both"/>
        <w:rPr>
          <w:rFonts w:ascii="Arial" w:hAnsi="Arial" w:cs="Arial"/>
          <w:sz w:val="20"/>
          <w:szCs w:val="20"/>
        </w:rPr>
      </w:pPr>
    </w:p>
    <w:p w:rsidR="003362D6" w:rsidRDefault="003362D6" w:rsidP="003362D6">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7.4. Требования к финансовым условиям реализации программ магистратуры.</w:t>
      </w:r>
    </w:p>
    <w:p w:rsidR="003362D6" w:rsidRDefault="003362D6" w:rsidP="00336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3" w:history="1">
        <w:r>
          <w:rPr>
            <w:rFonts w:ascii="Arial" w:hAnsi="Arial" w:cs="Arial"/>
            <w:color w:val="0000FF"/>
            <w:sz w:val="20"/>
            <w:szCs w:val="20"/>
          </w:rPr>
          <w:t>Методикой</w:t>
        </w:r>
      </w:hyperlink>
      <w:r>
        <w:rPr>
          <w:rFonts w:ascii="Arial" w:hAnsi="Arial" w:cs="Arial"/>
          <w:sz w:val="20"/>
          <w:szCs w:val="20"/>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3362D6" w:rsidRDefault="003362D6" w:rsidP="003362D6">
      <w:pPr>
        <w:autoSpaceDE w:val="0"/>
        <w:autoSpaceDN w:val="0"/>
        <w:adjustRightInd w:val="0"/>
        <w:spacing w:after="0" w:line="240" w:lineRule="auto"/>
        <w:ind w:firstLine="540"/>
        <w:jc w:val="both"/>
        <w:rPr>
          <w:rFonts w:ascii="Arial" w:hAnsi="Arial" w:cs="Arial"/>
          <w:sz w:val="20"/>
          <w:szCs w:val="20"/>
        </w:rPr>
      </w:pPr>
    </w:p>
    <w:p w:rsidR="003362D6" w:rsidRDefault="003362D6" w:rsidP="003362D6">
      <w:pPr>
        <w:autoSpaceDE w:val="0"/>
        <w:autoSpaceDN w:val="0"/>
        <w:adjustRightInd w:val="0"/>
        <w:spacing w:after="0" w:line="240" w:lineRule="auto"/>
        <w:ind w:firstLine="540"/>
        <w:jc w:val="both"/>
        <w:rPr>
          <w:rFonts w:ascii="Arial" w:hAnsi="Arial" w:cs="Arial"/>
          <w:sz w:val="20"/>
          <w:szCs w:val="20"/>
        </w:rPr>
      </w:pPr>
    </w:p>
    <w:p w:rsidR="003362D6" w:rsidRDefault="003362D6" w:rsidP="003362D6">
      <w:pPr>
        <w:pBdr>
          <w:top w:val="single" w:sz="6" w:space="0" w:color="auto"/>
        </w:pBdr>
        <w:autoSpaceDE w:val="0"/>
        <w:autoSpaceDN w:val="0"/>
        <w:adjustRightInd w:val="0"/>
        <w:spacing w:before="100" w:after="100" w:line="240" w:lineRule="auto"/>
        <w:jc w:val="both"/>
        <w:rPr>
          <w:rFonts w:ascii="Arial" w:hAnsi="Arial" w:cs="Arial"/>
          <w:sz w:val="2"/>
          <w:szCs w:val="2"/>
        </w:rPr>
      </w:pPr>
    </w:p>
    <w:p w:rsidR="00363C1B" w:rsidRDefault="003362D6">
      <w:bookmarkStart w:id="6" w:name="_GoBack"/>
      <w:bookmarkEnd w:id="6"/>
    </w:p>
    <w:sectPr w:rsidR="00363C1B" w:rsidSect="00BE1855">
      <w:pgSz w:w="11906" w:h="16838"/>
      <w:pgMar w:top="1440" w:right="567" w:bottom="144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20"/>
    <w:rsid w:val="000A1D57"/>
    <w:rsid w:val="002A2C20"/>
    <w:rsid w:val="002F3ACB"/>
    <w:rsid w:val="00336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4E8C847BF832402DBC4A4A862CD7AB3A32EE28BFEE6A43D6A91C6B769D1B928B1B4BBCB24D18572892FE01758BBD40828C3E0711F85C666Eo7H" TargetMode="External"/><Relationship Id="rId13" Type="http://schemas.openxmlformats.org/officeDocument/2006/relationships/hyperlink" Target="consultantplus://offline/ref=574E8C847BF832402DBC4A4A862CD7AB3A3FE52BB8E66A43D6A91C6B769D1B928B1B4BBCB24C18502992FE01758BBD40828C3E0711F85C666Eo7H" TargetMode="External"/><Relationship Id="rId3" Type="http://schemas.openxmlformats.org/officeDocument/2006/relationships/settings" Target="settings.xml"/><Relationship Id="rId7" Type="http://schemas.openxmlformats.org/officeDocument/2006/relationships/hyperlink" Target="consultantplus://offline/ref=574E8C847BF832402DBC4A4A862CD7AB3A3BE128BDE16A43D6A91C6B769D1B92991B13B0B34B06502B87A850306Do6H" TargetMode="External"/><Relationship Id="rId12" Type="http://schemas.openxmlformats.org/officeDocument/2006/relationships/hyperlink" Target="consultantplus://offline/ref=574E8C847BF832402DBC4A4A862CD7AB3A3BE52EB9E06A43D6A91C6B769D1B928B1B4BBCB24C18502B92FE01758BBD40828C3E0711F85C666Eo7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74E8C847BF832402DBC4A4A862CD7AB3932E02CB9EE6A43D6A91C6B769D1B928B1B4BBCB24C18552992FE01758BBD40828C3E0711F85C666Eo7H" TargetMode="External"/><Relationship Id="rId11" Type="http://schemas.openxmlformats.org/officeDocument/2006/relationships/hyperlink" Target="consultantplus://offline/ref=574E8C847BF832402DBC4A4A862CD7AB3932E123BDEF6A43D6A91C6B769D1B92991B13B0B34B06502B87A850306Do6H" TargetMode="External"/><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hyperlink" Target="consultantplus://offline/ref=574E8C847BF832402DBC4A4A862CD7AB383AE523BFE36A43D6A91C6B769D1B92991B13B0B34B06502B87A850306Do6H" TargetMode="External"/><Relationship Id="rId4" Type="http://schemas.openxmlformats.org/officeDocument/2006/relationships/webSettings" Target="webSettings.xml"/><Relationship Id="rId9" Type="http://schemas.openxmlformats.org/officeDocument/2006/relationships/hyperlink" Target="consultantplus://offline/ref=574E8C847BF832402DBC4A4A862CD7AB3933E22DB0E66A43D6A91C6B769D1B928B1B4BBCB24C1E572292FE01758BBD40828C3E0711F85C666Eo7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5348</Words>
  <Characters>30484</Characters>
  <Application>Microsoft Office Word</Application>
  <DocSecurity>0</DocSecurity>
  <Lines>254</Lines>
  <Paragraphs>71</Paragraphs>
  <ScaleCrop>false</ScaleCrop>
  <Company/>
  <LinksUpToDate>false</LinksUpToDate>
  <CharactersWithSpaces>35761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Леонидовна Рохлова</dc:creator>
  <cp:keywords/>
  <dc:description/>
  <cp:lastModifiedBy>Елена Леонидовна Рохлова</cp:lastModifiedBy>
  <cp:revision>2</cp:revision>
  <dcterms:created xsi:type="dcterms:W3CDTF">2018-10-17T07:41:00Z</dcterms:created>
  <dcterms:modified xsi:type="dcterms:W3CDTF">2018-10-17T07:41:00Z</dcterms:modified>
</cp:coreProperties>
</file>